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913477755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913477755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191347775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913477755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913477755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913477755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913477755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913477755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913477755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913477755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913477755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913477755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913477755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913477755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913477755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913477755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913477755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913477755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913477755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913477755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913477755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predicciones out-of-fold, StratifiedKFold 3-fold, mismas particiones para todos. La métrica primaria es AUC-PR por desbalance severo.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max_depth=3 y min_samples_leaf=1, con AUC-PR CV 0.844.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validaciones repetidas solo en desarrollo. La selección se realiza por AUC-PR media en validaciones repetidas;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68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2995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191347775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191347775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191347775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47226e0495146294dbd181fc9bfafd50db168fb2.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1913477755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1913477755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1913477755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1913477755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1913477755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1913477755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1913477755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11</Pages>
  <Words>2241</Words>
  <Characters>14802</Characters>
  <CharactersWithSpaces>16691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2026-08-10T18:23:28Z</dcterms:modified>
  <cp:revision>2</cp:revision>
  <dc:subject/>
  <dc:title>Informe Final Técnico Consolidado - Prototipo independiente CGR 1.8.2</dc:title>
</cp:coreProperties>
</file>