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5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Limpieza y Preprocesamiento de Datos para Detección de Fraccionamiento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581_1748477897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construyeron 180 grupos proveedor-entidad-objeto con 8 positivos sintéticos. El feature engineering incorpora ventanas temporales y cuantías normativas dependientes de fecha y categoría, evitando un umbral fijo universal.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581_1748477897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83_1748477897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85_1748477897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87_1748477897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89_1748477897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91_1748477897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93_1748477897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95_1748477897">
            <w:r>
              <w:rPr>
                <w:rStyle w:val="IndexLink"/>
              </w:rPr>
              <w:t>3. Productos Alcanzados</w:t>
              <w:tab/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597_1748477897">
            <w:r>
              <w:rPr>
                <w:rStyle w:val="IndexLink"/>
              </w:rPr>
              <w:t>3.1 Imputación, outliers y transformación</w:t>
              <w:tab/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599_1748477897">
            <w:r>
              <w:rPr>
                <w:rStyle w:val="IndexLink"/>
              </w:rPr>
              <w:t>3.2 Feature engineering temporal y normativo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601_1748477897">
            <w:r>
              <w:rPr>
                <w:rStyle w:val="IndexLink"/>
              </w:rPr>
              <w:t>3.3 División de los datos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603_1748477897">
            <w:r>
              <w:rPr>
                <w:rStyle w:val="IndexLink"/>
              </w:rPr>
              <w:t>3.4 Publicación de capa Plata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05_1748477897">
            <w:r>
              <w:rPr>
                <w:rStyle w:val="IndexLink"/>
              </w:rPr>
              <w:t>4. Actividades Realizadas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07_1748477897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09_1748477897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11_1748477897">
            <w:r>
              <w:rPr>
                <w:rStyle w:val="IndexLink"/>
              </w:rPr>
              <w:t>7. Conclusiones y Recomendaciones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13_1748477897">
            <w:r>
              <w:rPr>
                <w:rStyle w:val="IndexLink"/>
              </w:rPr>
              <w:t>8. Anexos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15_1748477897">
            <w:r>
              <w:rPr>
                <w:rStyle w:val="IndexLink"/>
              </w:rPr>
              <w:t>Referencias Bibliográficas</w:t>
              <w:tab/>
              <w:t>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583_1748477897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Features principales del dataset de fraccionamiento</w:t>
      </w:r>
    </w:p>
    <w:p>
      <w:pPr>
        <w:pStyle w:val="Heading1"/>
        <w:spacing w:lineRule="exact" w:line="240" w:before="240" w:after="120"/>
        <w:rPr/>
      </w:pPr>
      <w:bookmarkStart w:id="2" w:name="__RefHeading___Toc2585_1748477897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Serie temporal del benchmark de contratación</w:t>
      </w:r>
    </w:p>
    <w:p>
      <w:pPr>
        <w:pStyle w:val="Heading1"/>
        <w:spacing w:lineRule="exact" w:line="240" w:before="240" w:after="120"/>
        <w:rPr/>
      </w:pPr>
      <w:bookmarkStart w:id="3" w:name="__RefHeading___Toc2587_1748477897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589_1748477897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591_1748477897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la preparación de datos específica para posibles patrones de fraccionamiento, incluidos limpieza, transformación, feature engineering y división independiente para validación.</w:t>
      </w:r>
    </w:p>
    <w:p>
      <w:pPr>
        <w:pStyle w:val="Heading1"/>
        <w:spacing w:lineRule="exact" w:line="240" w:before="240" w:after="120"/>
        <w:rPr/>
      </w:pPr>
      <w:bookmarkStart w:id="6" w:name="__RefHeading___Toc2593_1748477897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2595_1748477897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597_1748477897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Imputación, outliers y transformación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flujo reutiliza controles de calidad del dataset contractual y transforma montos y fechas en variables aptas para análisis temporal y detección de anomalías.</w:t>
      </w:r>
    </w:p>
    <w:p>
      <w:pPr>
        <w:pStyle w:val="Heading2"/>
        <w:spacing w:lineRule="exact" w:line="240" w:before="180" w:after="80"/>
        <w:rPr/>
      </w:pPr>
      <w:bookmarkStart w:id="9" w:name="__RefHeading___Toc2599_1748477897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Feature engineering temporal y normativo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Features principales del dataset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Feature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Interpretación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n_contratos_grupo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Número de contratos del grupo proveedor-entidad-objeto.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max_contratos_ventana_15d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Máximo de contratos observados en una ventana móvil de 15 días.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dentro de la ventana de máxima concentración.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pct_montos_bajo_umbral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Proporción de contratos bajo el 95% de la cuantía parametrizada para fecha/régimen/categoría.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del grupo analítico.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categoría estructurada goods/services/works tiene prioridad sobre inferencias textuales para seleccionar el contexto normativo cuando está disponible.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Serie temporal del benchmark de contratación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0" w:name="__RefHeading___Toc2601_1748477897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División de los datos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diseño de evaluación separa un holdout final antes del tuning: 112 grupos quedan en desarrollo y 68 en holdout, impidiendo que el conjunto final participe en la selección de hiperparámetros.</w:t>
      </w:r>
    </w:p>
    <w:p>
      <w:pPr>
        <w:pStyle w:val="Heading2"/>
        <w:spacing w:lineRule="exact" w:line="240" w:before="180" w:after="80"/>
        <w:rPr/>
      </w:pPr>
      <w:bookmarkStart w:id="11" w:name="__RefHeading___Toc2603_1748477897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Publicación de capa Plata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resultante se publica en lakehouse/plata/dataset_fraccionamiento.csv y es consumido por la ruta sklearn y por la implementación Spark.</w:t>
      </w:r>
    </w:p>
    <w:p>
      <w:pPr>
        <w:pStyle w:val="Heading1"/>
        <w:spacing w:lineRule="exact" w:line="240" w:before="240" w:after="120"/>
        <w:rPr/>
      </w:pPr>
      <w:bookmarkStart w:id="12" w:name="__RefHeading___Toc2605_1748477897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Cálculo de ventanas temporales y agregados por proveedor-entidad-objeto.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Consulta del motor normativo parametrizado por fecha y categoría.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Separación desarrollo/holdout antes del tuning.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Pruebas de regresión para categorías, fechas, umbrales y semántica de señales.</w:t>
      </w:r>
    </w:p>
    <w:p>
      <w:pPr>
        <w:pStyle w:val="Heading1"/>
        <w:spacing w:lineRule="exact" w:line="240" w:before="240" w:after="120"/>
        <w:rPr/>
      </w:pPr>
      <w:bookmarkStart w:id="13" w:name="__RefHeading___Toc2607_1748477897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Feature engineering, división y publicación en Plata completados para el PoC. La validación jurídica de reglas y fuentes internas depende de especialistas y sistemas CGR.</w:t>
      </w:r>
    </w:p>
    <w:p>
      <w:pPr>
        <w:pStyle w:val="Heading1"/>
        <w:spacing w:lineRule="exact" w:line="240" w:before="240" w:after="120"/>
        <w:rPr/>
      </w:pPr>
      <w:bookmarkStart w:id="14" w:name="__RefHeading___Toc2609_1748477897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ventana de 15 días es una heurística analítica configurable y no constituye por sí sola una regla jurídica.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Las cuantías y regímenes deben mantenerse versionados frente a futuros cambios normativos.</w:t>
      </w:r>
    </w:p>
    <w:p>
      <w:pPr>
        <w:pStyle w:val="Heading1"/>
        <w:spacing w:lineRule="exact" w:line="240" w:before="240" w:after="120"/>
        <w:rPr/>
      </w:pPr>
      <w:bookmarkStart w:id="15" w:name="__RefHeading___Toc2611_1748477897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preprocesamiento combina dimensión temporal, objeto contractual y contexto normativo, lo que resulta más defendible que aplicar un único tope monetario a todo el período analizado.</w:t>
      </w:r>
    </w:p>
    <w:p>
      <w:pPr>
        <w:pStyle w:val="Heading1"/>
        <w:spacing w:lineRule="exact" w:line="240" w:before="240" w:after="120"/>
        <w:rPr/>
      </w:pPr>
      <w:bookmarkStart w:id="16" w:name="__RefHeading___Toc2613_1748477897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17" w:name="__RefHeading___Toc2615_1748477897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6"/>
      <w:footerReference w:type="default" r:id="rId7"/>
      <w:footerReference w:type="first" r:id="rId8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Limpieza y Preprocesamiento de Datos para Detección de Fraccionamiento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header" Target="header1.xml"/><Relationship Id="rId7" Type="http://schemas.openxmlformats.org/officeDocument/2006/relationships/footer" Target="footer4.xml"/><Relationship Id="rId8" Type="http://schemas.openxmlformats.org/officeDocument/2006/relationships/footer" Target="footer5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2026-08-08T17:08:34Z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2026-08-08T17:08:38Z</dcterms:modified>
  <cp:revision>2</cp:revision>
  <dc:subject/>
  <dc:title>Limpieza y Preprocesamiento de Datos para Detección de Fraccionamiento - Prototipo independiente CGR 1.8.2</dc:title>
</cp:coreProperties>
</file>