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pPr>
        <w:spacing w:after="160"/>
      </w:pPr>
      <w:r>
        <w:rPr>
          <w:sz w:val="22"/>
          <w:szCs w:val="22"/>
        </w:rPr>
        <w:t xml:space="preserve">Nota de interpretación importante: el generador sintético siembra los casos de fraccionamiento exactamente con el patrón que la regla busca (mismo proveedor-entidad-objeto, 3 a 6 compras en pocos días, montos justo bajo el umbral legal). Que la regla los encuentre con 100% de precisión confirma que la implementación funciona como fue diseñada — una prueba funcional (sanity check) válida y necesaria — pero no es evidencia de desempeño predictivo sobre datos externos no sembrados. La Sección 4 detalla esta distinción con mayor profundidad.</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60"/>
      </w:pPr>
      <w:r>
        <w:rPr>
          <w:sz w:val="22"/>
          <w:szCs w:val="22"/>
        </w:rPr>
        <w:t xml:space="preserve">Precisión metodológica sobre el 100%: los 8 casos sembrados fueron construidos deliberadamente con el patrón exacto que la regla busca (mismo proveedor-entidad-objeto, 3-6 compras en una ventana de pocos días, montos justo bajo el umbral). Este resultado valida que la regla está correctamente implementada — que hace lo que se diseñó para hacer — no que vaya a alcanzar 100% de precisión sobre datos reales no sembrados, donde el fraccionamiento real puede presentarse con patrones más sutiles o distintos (ver el Anexo A, donde sobre datos reales sin etiquetas la regla se usa como señal de riesgo para revisión de auditor, no como determinación automática).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6c99812cbba17b75677ed15b124e2206eda83a5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2026-08-07T21:20:49.273Z</dcterms:created>
  <dcterms:modified xsi:type="dcterms:W3CDTF">2026-08-07T21:20:49.286Z</dcterms:modified>
</cp:coreProperties>
</file>

<file path=docProps/custom.xml><?xml version="1.0" encoding="utf-8"?>
<Properties xmlns="http://schemas.openxmlformats.org/officeDocument/2006/custom-properties" xmlns:vt="http://schemas.openxmlformats.org/officeDocument/2006/docPropsVTypes"/>
</file>