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3_1096995856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1096995856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1096995856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1096995856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1096995856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1096995856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1096995856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1096995856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1096995856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41_1096995856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1096995856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1096995856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1096995856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1096995856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51_1096995856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3_1096995856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3_1096995856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propósito técnico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principales por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5_1096995856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7_1096995856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9_1096995856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plan organiza una prueba de concepto independiente basada en el TDR público del Proyecto Interno 1.8.2. El trabajo se estructura por contratos técnicos verificables: integración canónica, calidad de datos, feature engineering, evaluación, modelos Spark MLlib, grafos, TRAIN/INFERENCE, monitoreo, trazabilidad y reporting. Las actividades que requieren accesos, infraestructura o conformidad CGR se mantienen como dependencias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31_1096995856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5" w:name="__RefHeading___Toc1333_1096995856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propósito técnico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99"/>
        <w:gridCol w:w="3001"/>
        <w:gridCol w:w="5100"/>
      </w:tblGrid>
      <w:tr>
        <w:trPr>
          <w:tblHeader w:val="true"/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Propósito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evidencia.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Calidad, limpieza, estado FIT/TRANSFORM y features proveedor-entidad.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 metodológica, Random Forest Spark MLlib e interpretabilidad.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CV, tuning, holdout, candidate/champion y métricas.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Objeto-familia, ventanas coherentes y contexto normativo.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Spark, distancia al centroide, holdout y señal interpretable.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Informe Final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Integración, MLOps, monitoreo, reporting, seguridad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5_1096995856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principales por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Definir alcance, evidencia, dependencias y criterios de aceptación verificables.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Integrar datos, aplicar quality gates, ajustar preprocesador y construir features de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Comparar algoritmos, justificar Random Forest y ejecutar implementación Apache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Reservar holdout antes del FIT, ejecutar CV/tuning, documentar métricas y persistencia.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Normalizar objetos, construir ventanas de 15 días y resolver referencias normativas.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Seleccionar k en desarrollo, evaluar KMeans en holdout y conservar benchmark complementario.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Documentar TRAIN/INFERENCE, registry, monitoreo, Airflow, SQL Server/SSRS, seguridad y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7_1096995856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9_1096995856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auditoría integral del TDR distingue evidencia reproducible de dependencias institucionales.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descripción funcional vigente se encuentra en README.md; la historia de cambios permanece en Git/PR.</w:t>
      </w:r>
    </w:p>
    <w:p>
      <w:pPr>
        <w:pStyle w:val="Heading1"/>
        <w:spacing w:lineRule="auto" w:line="240" w:before="0" w:after="60"/>
        <w:rPr/>
      </w:pPr>
      <w:bookmarkStart w:id="9" w:name="__RefHeading___Toc1341_1096995856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3_1096995856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5_1096995856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7_1096995856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9_1096995856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51_1096995856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3_1096995856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2026-08-11T23:17:00Z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2026-08-11T23:17:03Z</dcterms:modified>
  <cp:revision>2</cp:revision>
  <dc:subject/>
  <dc:title>Plan de Trabajo - Prototipo independiente CGR 1.8.2</dc:title>
</cp:coreProperties>
</file>