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de la Consultoría - Prototipo Independiente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4101_1096995856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integra datos mediante un esquema canónico, aplica quality gates, construye señales de posible favoritismo y fraccionamiento, ejecuta Random Forest y KMeans con Apache Spark MLlib, analiza vínculos con GraphFrames y separa evaluación, TRAIN, candidate, promoción, champion e INFERENCE. La documentación formal presenta como evidencia principal los modelos Spark servidos y conserva sklearn únicamente como benchmark/explicabilidad complementaria.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4101_1096995856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3_1096995856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5_1096995856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7_1096995856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09_1096995856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1_1096995856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3_1096995856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15_1096995856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17_1096995856">
            <w:r>
              <w:rPr>
                <w:rStyle w:val="IndexLink"/>
              </w:rPr>
              <w:t>3.1 Arquitectura y modelos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19_1096995856">
            <w:r>
              <w:rPr>
                <w:rStyle w:val="IndexLink"/>
              </w:rPr>
              <w:t>3.2 Plan de monitoreo y mantenimiento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1_1096995856">
            <w:r>
              <w:rPr>
                <w:rStyle w:val="IndexLink"/>
              </w:rPr>
              <w:t>3.3 Pruebas de integración y operación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3_1096995856">
            <w:r>
              <w:rPr>
                <w:rStyle w:val="IndexLink"/>
              </w:rPr>
              <w:t>3.4 Reporting y transferencia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5_1096995856">
            <w:r>
              <w:rPr>
                <w:rStyle w:val="IndexLink"/>
              </w:rPr>
              <w:t>3.5 Certificación y marcha blanca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27_1096995856">
            <w:r>
              <w:rPr>
                <w:rStyle w:val="IndexLink"/>
              </w:rPr>
              <w:t>3.6 Dependencias institucionales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29_1096995856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31_1096995856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33_1096995856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5_1096995856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7_1096995856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39_1096995856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41_1096995856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43_1096995856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45_1096995856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4103_1096995856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modelos operacionales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Plan de monitoreo y mantenimiento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Cierre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4105_1096995856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4107_1096995856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4109_1096995856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4111_1096995856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informe consolida el estado funcional de la herramienta y las decisiones técnicas que permiten reproducirla. La historia de correcciones se conserva en Git/PR y no forma parte de la descripción principal del sistema.</w:t>
      </w:r>
    </w:p>
    <w:p>
      <w:pPr>
        <w:pStyle w:val="Heading1"/>
        <w:spacing w:lineRule="exact" w:line="240" w:before="240" w:after="120"/>
        <w:rPr/>
      </w:pPr>
      <w:bookmarkStart w:id="6" w:name="__RefHeading___Toc4113_1096995856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4115_1096995856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4117_1096995856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 y modelos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modelos operacionales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3300"/>
        <w:gridCol w:w="3300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Caso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 servido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Evaluación principal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RandomForestClassificationModel - Spark MLlib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 1.000; recall@K 1.000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(k=3) - Spark MLlib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 0.323; recall@K 0.429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 / NetworkX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Señales de vínculo para revisión humana.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ruta spark_sql mantiene DataFrames Spark en integración, validación, preprocesamiento, evaluación, TRAIN e INFERENCE y publica rankings distribuidos en Parquet.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4119_1096995856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Tratamiento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Quality gates de esquema, unicidad, integridad referencial y rangos estructurales.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sobre features y distribución de score de fraccionamiento.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cuando existe ground truth nuevo y validado.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 candidate; requiere evaluación y no se promueve automáticamente.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Integridad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SHA-256 antes/después de INFERENCE y promoción versionada.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Cuantías versionadas por fecha/categoría y regresiones automáticas.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monitor se liga al champion activo del registry. Promoción automática: deshabilitada.</w:t>
      </w:r>
    </w:p>
    <w:p>
      <w:pPr>
        <w:pStyle w:val="Heading2"/>
        <w:spacing w:lineRule="exact" w:line="240" w:before="180" w:after="80"/>
        <w:rPr/>
      </w:pPr>
      <w:bookmarkStart w:id="10" w:name="__RefHeading___Toc4121_1096995856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operación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pruebas de integración del repositorio cubren CI, Spark MLlib, GraphFrames, candidate/champion, inference, calidad de datos, generación documental y reporting local. Las pruebas de integración DEV/QA/PROD, carga, concurrencia, skew, seguridad y operación real requieren infraestructura institucional.</w:t>
      </w:r>
    </w:p>
    <w:p>
      <w:pPr>
        <w:pStyle w:val="Heading2"/>
        <w:spacing w:lineRule="exact" w:line="240" w:before="180" w:after="80"/>
        <w:rPr/>
      </w:pPr>
      <w:bookmarkStart w:id="11" w:name="__RefHeading___Toc4123_1096995856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Reporting y transferencia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SQL Server/SSRS se entrega como DDL, vistas, roles de referencia y RDL con Shared Data Source. La Transferencia de conocimiento se apoya en README, documentación técnica, diccionario, linaje, manifests y Productos 1-7; las sesiones y actas formales requieren participantes CGR.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9052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4125_1096995856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Certificación y marcha blanca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certificación funcional, levantamiento de incidencias y marcha blanca no pueden acreditarse desde el repositorio público. Requieren usuarios, ambientes, fuentes y criterios de aceptación institucionales.</w:t>
      </w:r>
    </w:p>
    <w:p>
      <w:pPr>
        <w:pStyle w:val="Heading2"/>
        <w:spacing w:lineRule="exact" w:line="240" w:before="180" w:after="80"/>
        <w:rPr/>
      </w:pPr>
      <w:bookmarkStart w:id="13" w:name="__RefHeading___Toc4127_1096995856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Dependencias institucionales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Cierre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Software reproducible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validado por CI.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real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Spark/almacenamiento CGR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 para performance y robustez.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DEV/QA/PROD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Server/SSRS institucional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 preparado; ejecución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Certificación /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4" w:name="__RefHeading___Toc4129_1096995856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herramienta queda documentada como un sistema de priorización reproducible: esquema canónico, preprocesador congelado, modelos Spark con evaluación propia, registry versionado, promoción explícita, inference sin retraining y monitoreo ligado al champion. El siguiente nivel de evidencia requiere ground truth, infraestructura y validación funcional CGR; no debe inferirse producción certificada a partir de los resultados sintéticos.</w:t>
      </w:r>
    </w:p>
    <w:p>
      <w:pPr>
        <w:pStyle w:val="Heading1"/>
        <w:spacing w:lineRule="exact" w:line="240" w:before="240" w:after="120"/>
        <w:rPr/>
      </w:pPr>
      <w:bookmarkStart w:id="15" w:name="__RefHeading___Toc4131_1096995856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OCDS: 47,254 contratos analíticos con award/supplier resoluble.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GraphFrames: 280 vértices y 3130 aristas en evidencia sintética.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Dependencias institucionales: docs/Dependencias_Institucionales_CGR.md.</w:t>
      </w:r>
    </w:p>
    <w:p>
      <w:pPr>
        <w:pStyle w:val="Heading1"/>
        <w:spacing w:lineRule="auto" w:line="240" w:before="0" w:after="60"/>
        <w:rPr/>
      </w:pPr>
      <w:bookmarkStart w:id="16" w:name="__RefHeading___Toc4133_1096995856"/>
      <w:bookmarkEnd w:id="16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7" w:name="__RefHeading___Toc4135_1096995856"/>
      <w:bookmarkEnd w:id="17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8" w:name="__RefHeading___Toc4137_1096995856"/>
      <w:bookmarkEnd w:id="18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4139_1096995856"/>
      <w:bookmarkEnd w:id="19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4141_1096995856"/>
      <w:bookmarkEnd w:id="20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1" w:name="__RefHeading___Toc4143_1096995856"/>
      <w:bookmarkEnd w:id="21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4145_1096995856"/>
      <w:bookmarkEnd w:id="2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2026-08-11T23:17:00Z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2026-08-11T23:17:05Z</dcterms:modified>
  <cp:revision>2</cp:revision>
  <dc:subject/>
  <dc:title>Informe Final - Prototipo independiente CGR 1.8.2</dc:title>
</cp:coreProperties>
</file>