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2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Limpieza y Preprocesamiento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Se procesaron 3,603 contratos sintéticos que simulan la integración SIAF/SEACE, corrigiendo 239 valores nulos y capando 37 valores atípicos, para construir un dataset agregado de 2,354 pares proveedor-entidad listo para modelar riesgo de favoritismo.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de la consultoría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Este documento cubre el numeral 4.1.4 (Limpieza y Transformación) y 4.1.5 (Enriquecimiento y Generación de Características) del TDR, aplicados al caso de uso de identificación de proveedores favoritos.</w:t>
      </w:r>
    </w:p>
    <w:p>
      <w:pPr>
        <w:pStyle w:val="Heading1"/>
        <w:spacing w:after="140" w:before="260"/>
      </w:pPr>
      <w:r>
        <w:t xml:space="preserve">2. Objetivo de la Consultoría</w:t>
      </w:r>
    </w:p>
    <w:p>
      <w:pPr>
        <w:spacing w:after="140"/>
      </w:pPr>
      <w:r>
        <w:rPr>
          <w:sz w:val="21"/>
          <w:szCs w:val="21"/>
        </w:rPr>
        <w:t xml:space="preserve">Desarrollar modelos de ciencia de datos y machine learning que permitan la identificación temprana de proveedores favorecidos, la detección de fraccionamiento indebido del gasto público, y la evaluación de vínculos impropios entre proveedores y funcionarios.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Imputación de valores faltantes: monto → mediana por tipo de objeto contractual; variables categóricas → moda (239 valores nulos corregidos, 6.44% de los registros).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Tratamiento de outliers: winsorización al percentil 99 (S/. 534,351) — se capan, no se eliminan, para no perder señal de auditoría (37 registros afectados).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Codificación de variables categóricas: One-Hot Encoding sobre la modalidad de contratación.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Normalización: estandarización (z-score) del monto contractual.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Feature engineering (nivel proveedor-entidad): n° de contratos, monto total y promedio, concentración de objeto contractual, % de modalidades no competitivas, n° de funcionarios distintos, días de actividad, contratos por mes, monto por funcionario.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División de datos: el dataset resultante (2,354 pares) se usa íntegramente en validación cruzada estratificada en el Producto 4, dada la escasez natural de la clase positiva.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Ejecución de src/generar_datos.py — generación del dataset base de contrataciones.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Ejecución de src/eda.py — análisis exploratorio (distribuciones, modalidades, concentración de proveedores).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Ejecución de src/preprocesamiento.py — limpieza, codificación y generación del dataset dataset_favoritismo.csv.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100% de las actividades de limpieza y feature engineering planificadas para este producto fueron completadas sobre el dataset sintético. El dataset resultante reproduce correctamente los 6 casos de favoritismo sembrados como grupos de mayor concentración de contratos.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No se tuvo acceso a datos reales de SIAF/SEACE al momento de este producto; se trabajó con un dataset sintético diseñado para replicar su estructura y distribución esperada.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imputación por mediana/moda es una estrategia conservadora; en producción debería evaluarse imputación más sofisticada (KNN, modelos predictivos) según la calidad real de los datos de la CGR.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El pipeline de limpieza y feature engineering es reproducible. Actualización posterior a este producto: se validó tanto en Spark DataFrames real (Producto 7, Sección 4) bajo los estándares SQL institucionales (LEFT JOIN, poda de particiones — Producto 7, Sección 6), como sobre 47,442 contratos reales de SEACE obtenidos del portal de datos abiertos de la OECE (Producto 7, Sección 10).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 fuente y datasets: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Limpieza y Preprocesamiento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2026-08-07T20:54:28.785Z</dcterms:created>
  <dcterms:modified xsi:type="dcterms:W3CDTF">2026-08-07T20:54:28.785Z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