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3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Selección y Desarrollo del Modelo — Favoritismo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independiente elaborado como prueba de concepto (proof of concept) — no constituye una postulación formal, una implementación oficial, ni cuenta con aprobación institucional de la CGR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Resumen Ejecutivo</w:t>
      </w:r>
    </w:p>
    <w:p>
      <w:pPr>
        <w:spacing w:after="140"/>
      </w:pPr>
      <w:r>
        <w:rPr>
          <w:sz w:val="21"/>
          <w:szCs w:val="21"/>
        </w:rPr>
        <w:t xml:space="preserve">Se evaluó y seleccionó un modelo Random Forest para la identificación de proveedores favoritos, por su balance entre precisión, interpretabilidad y bajo riesgo de sobreajuste con una clase positiva minoritaria (0.25% de los pares proveedor-entidad).</w:t>
      </w:r>
    </w:p>
    <w:p>
      <w:pPr>
        <w:pStyle w:val="Heading1"/>
        <w:spacing w:after="140" w:before="260"/>
      </w:pPr>
      <w:r>
        <w:t xml:space="preserve">Índice</w:t>
      </w:r>
    </w:p>
    <w:p>
      <w:pPr>
        <w:spacing w:after="140"/>
      </w:pPr>
      <w:r>
        <w:rPr>
          <w:sz w:val="21"/>
          <w:szCs w:val="21"/>
        </w:rPr>
        <w:t xml:space="preserve">1. Introducción — 2. Objetivo de la consultoría — 3. Productos alcanzados — 4. Actividades realizadas — 5. Grado de cumplimiento — 6. Dificultades y limitaciones — 7. Conclusiones y recomendaciones — 8. Anexos</w:t>
      </w:r>
    </w:p>
    <w:p>
      <w:pPr>
        <w:pStyle w:val="Heading1"/>
        <w:spacing w:after="140" w:before="260"/>
      </w:pPr>
      <w:r>
        <w:t xml:space="preserve">1. Introducción</w:t>
      </w:r>
    </w:p>
    <w:p>
      <w:pPr>
        <w:spacing w:after="140"/>
      </w:pPr>
      <w:r>
        <w:rPr>
          <w:sz w:val="21"/>
          <w:szCs w:val="21"/>
        </w:rPr>
        <w:t xml:space="preserve">Cubre el numeral 4.2.1 y 4.2.2 del TDR: diseño y selección de algoritmos de Machine Learning para la identificación de favoritismo mediante modelos de clasificación o de puntuación de riesgo.</w:t>
      </w:r>
    </w:p>
    <w:p>
      <w:pPr>
        <w:pStyle w:val="Heading1"/>
        <w:spacing w:after="140" w:before="260"/>
      </w:pPr>
      <w:r>
        <w:t xml:space="preserve">2. Objetivo de la Consultoría</w:t>
      </w:r>
    </w:p>
    <w:p>
      <w:pPr>
        <w:spacing w:after="140"/>
      </w:pPr>
      <w:r>
        <w:rPr>
          <w:sz w:val="21"/>
          <w:szCs w:val="21"/>
        </w:rPr>
        <w:t xml:space="preserve">Desarrollar modelos de ciencia de datos y machine learning que permitan la identificación temprana de proveedores favorecidos, la detección de fraccionamiento indebido del gasto público, y la evaluación de vínculos impropios entre proveedores y funcionarios.</w:t>
      </w:r>
    </w:p>
    <w:p>
      <w:pPr>
        <w:pStyle w:val="Heading1"/>
        <w:spacing w:after="140" w:before="260"/>
      </w:pPr>
      <w:r>
        <w:t xml:space="preserve">3. Productos Alcanzados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Documentación de patrones identificados: concentración de contratos en un subconjunto de proveedores (hasta 32 contratos por proveedor), predominancia de Adjudicación Simplificada (33%) y Comparación de Precios (29%) sobre modalidades competitivas.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Análisis estadístico de variables clave: distribución log-normal de montos, con 7.7% de contratos identificados como outliers por el método IQR.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Propuesta fundamentada: se evaluaron Regresión Logística, Gradient Boosting y Random Forest. Se eligió Random Forest por su robustez ante variables correlacionadas, su soporte nativo para pesos balanceados de clase, y su compatibilidad directa con RandomForestClassifier de Spark MLlib para escalamiento futuro.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Arquitectura: 300 árboles, profundidad máxima 6 (para limitar sobreajuste dado el tamaño de la clase positiva), class_weight='balanced'. Actualización: una búsqueda sistemática posterior (Producto 4) confirmó 100 árboles/profundidad 3 como igual de efectivo y ~65% más rápido de entrenar — arquitectura final ajustada en base a esa evidencia.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Reporte de implementación: implementado y ejecutado en scikit-learn Y en Spark MLlib real (pyspark.ml.classification.RandomForestClassifier) — no solo 'portable', sino corrido y verificado en ambas plataformas (ver Producto 7, Sección 4).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Parámetros de entrenamiento documentados en el código fuente (src/modelo_favoritismo.py y src/spark/modelo_favoritismo_spark.py).</w:t>
      </w:r>
    </w:p>
    <w:p>
      <w:pPr>
        <w:pStyle w:val="Heading1"/>
        <w:spacing w:after="140" w:before="260"/>
      </w:pPr>
      <w:r>
        <w:t xml:space="preserve">4. Actividades Realizadas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Análisis comparativo de algoritmos candidatos sobre el dataset del Producto 2.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Definición de la arquitectura final y sus hiperparámetros.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Documentación de la lógica de negocio detrás de cada variable predictora.</w:t>
      </w:r>
    </w:p>
    <w:p>
      <w:pPr>
        <w:pStyle w:val="Heading1"/>
        <w:spacing w:after="140" w:before="260"/>
      </w:pPr>
      <w:r>
        <w:t xml:space="preserve">5. Grado de Cumplimiento del Producto</w:t>
      </w:r>
    </w:p>
    <w:p>
      <w:pPr>
        <w:spacing w:after="140"/>
      </w:pPr>
      <w:r>
        <w:rPr>
          <w:sz w:val="21"/>
          <w:szCs w:val="21"/>
        </w:rPr>
        <w:t xml:space="preserve">Se completó la selección y el diseño de arquitectura del modelo. La implementación se realizó en scikit-learn y posteriormente se ejecutó y validó en Spark MLlib real (ver Producto 7, Sección 4) — la migración ya no es una actividad pendiente.</w:t>
      </w:r>
    </w:p>
    <w:p>
      <w:pPr>
        <w:pStyle w:val="Heading1"/>
        <w:spacing w:after="140" w:before="260"/>
      </w:pPr>
      <w:r>
        <w:t xml:space="preserve">6. Dificultades y Limitaciones Encontradas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Al momento de este producto no se había validado en Spark real; esto se resolvió en una etapa posterior (Producto 7) obteniendo los .jar necesarios directamente de Maven Central.</w:t>
      </w:r>
    </w:p>
    <w:p>
      <w:pPr>
        <w:pStyle w:val="Heading1"/>
        <w:spacing w:after="140" w:before="260"/>
      </w:pPr>
      <w:r>
        <w:t xml:space="preserve">7. Conclusiones y Recomendaciones</w:t>
      </w:r>
    </w:p>
    <w:p>
      <w:pPr>
        <w:spacing w:after="140"/>
      </w:pPr>
      <w:r>
        <w:rPr>
          <w:sz w:val="21"/>
          <w:szCs w:val="21"/>
        </w:rPr>
        <w:t xml:space="preserve">Random Forest ofrece el mejor balance entre desempeño e interpretabilidad para este caso de uso. Se recomienda mantener esta elección en producción, complementada con SHAP (ver Producto 4) para sustentar hallazgos ante auditores.</w:t>
      </w:r>
    </w:p>
    <w:p>
      <w:pPr>
        <w:pStyle w:val="Heading1"/>
        <w:spacing w:after="140" w:before="260"/>
      </w:pPr>
      <w:r>
        <w:t xml:space="preserve">8. Anexos</w:t>
      </w:r>
    </w:p>
    <w:p>
      <w:pPr>
        <w:spacing w:after="140"/>
      </w:pPr>
      <w:r>
        <w:rPr>
          <w:sz w:val="21"/>
          <w:szCs w:val="21"/>
        </w:rPr>
        <w:t xml:space="preserve">Código fuente y datasets: ver repositorio indicado en la portada.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Selección y Desarrollo del Modelo — Favoritismo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2026-08-07T20:54:28.788Z</dcterms:created>
  <dcterms:modified xsi:type="dcterms:W3CDTF">2026-08-07T20:54:28.788Z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