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4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Entrenamiento y Validación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El modelo entrenado alcanzó AUC-ROC y AUC-PR de 1.00 en validación cruzada estratificada de 3 particiones, ubicando los 6 casos de favoritismo sembrados en las primeras 6 posiciones de un ranking de 2,354 pares proveedor-entidad. Se generaron artefactos de explicabilidad SHAP para sustentar hallazgos ante auditores.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el numeral 4.2.5 del TDR (entrenamiento, validación cruzada, optimización de hiperparámetros) y el ítem 5 del checklist del Anexo 3 (interpretabilidad orientada a auditoría).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Métricas de evaluación (validación cruzada estratificada, 3 particiones): AUC-ROC = 1.00, AUC-PR = 1.00.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Registro de experimentos: validación cruzada estratificada elegida específicamente por la escasez de la clase positiva (6 de 2,354 registros), garantizando al menos 1-2 casos positivos por partición de prueba.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Ajuste de hiperparámetros: búsqueda sistemática en grilla (GridSearchCV, 60 combinaciones, validación cruzada estratificada de 3 particiones) confirmó que 100 árboles/profundidad 3 igualan el AUC-PR máximo (1.00) de la configuración original (300/6) con ~65% menos tiempo de entrenamiento. Confirmado de forma independiente con pyspark.ml.tuning.CrossValidator sobre Spark MLlib real: mismo resultado óptimo (100/3) en ambas plataformas.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Persistencia del modelo: outputs/models/modelo_favoritismo_rf.joblib (scikit-learn) y outputs/models/modelo_favoritismo_spark_rf/ (Spark MLlib real).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comparativo: desempeño perfecto sobre datos sintéticos con separación clara, reproducido de forma idéntica en Spark MLlib real (AUC-ROC 1.00, 6/6 casos en el top-6). Se documenta explícitamente que este resultado es esperable en datos sembrados y no debe interpretarse como el desempeño esperado sobre datos reales de producción.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técnica completa: artefactos SHAP (resumen global e individual) para sustentar hallazgos ante auditores — ver Figuras 1 y 2. Resultados publicados en un esquema listo para SSRS (tabla PrediccionesFavoritismo, ver Producto 7 Sección 6).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Entrenamiento del modelo final sobre el dataset completo (2,354 registros), en scikit-learn y en Spark MLlib real.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cruzada estratificada (scikit-learn) y CrossValidator (Spark MLlib) para la búsqueda de hiperparámetros.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Generación de valores SHAP (TreeExplainer) y ranking de riesgo para los 2,354 pares proveedor-entidad.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100% de las actividades de entrenamiento, validación e interpretabilidad fueron completadas, incluyendo la ejecución real en Spark MLlib (no solo scikit-learn) y la búsqueda sistemática de hiperparámetros en ambas plataformas. El ranking de riesgo generado está listo para revisión por un auditor y publicado en un esquema tipo SQL Server.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desempeño perfecto en datos sintéticos no es representativo del desempeño esperado en producción; se recomienda repetir esta validación íntegramente al conectar datos reales (ver Producto 7, Sección 10, donde se corrió una versión no supervisada equivalente sobre 47,442 contratos reales de SEACE).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modelo y sus artefactos de explicabilidad están listos para una prueba piloto con datos reales supervisada por un auditor de la CGR.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90"/>
        <w:jc w:val="center"/>
      </w:pPr>
      <w:r>
        <w:drawing>
          <wp:inline distT="0" distB="0" distL="0" distR="0">
            <wp:extent cx="4191000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50"/>
        <w:jc w:val="center"/>
      </w:pPr>
      <w:r>
        <w:rPr>
          <w:i/>
          <w:iCs/>
          <w:color w:val="666666"/>
          <w:sz w:val="17"/>
          <w:szCs w:val="17"/>
        </w:rPr>
        <w:t xml:space="preserve">Figura 1. Impacto SHAP por variable — vista global.</w:t>
      </w:r>
    </w:p>
    <w:p>
      <w:pPr>
        <w:spacing w:after="90"/>
        <w:jc w:val="center"/>
      </w:pPr>
      <w:r>
        <w:drawing>
          <wp:inline distT="0" distB="0" distL="0" distR="0">
            <wp:extent cx="41910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50"/>
        <w:jc w:val="center"/>
      </w:pPr>
      <w:r>
        <w:rPr>
          <w:i/>
          <w:iCs/>
          <w:color w:val="666666"/>
          <w:sz w:val="17"/>
          <w:szCs w:val="17"/>
        </w:rPr>
        <w:t xml:space="preserve">Figura 2. Explicación SHAP individual del caso de mayor riesgo.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Entrenamiento y Validación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e479aff07d35708be563eaf7ba0dfc7c8da951.png"/><Relationship Id="rId10" Type="http://schemas.openxmlformats.org/officeDocument/2006/relationships/image" Target="media/a129c85e0bc7ab774f516edc5ee2a16868744ad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2026-08-07T20:54:28.823Z</dcterms:created>
  <dcterms:modified xsi:type="dcterms:W3CDTF">2026-08-07T20:54:28.823Z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