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Preprocesamiento para Detección de Posible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114_2401388243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feature engineering agrupa contratos por proveedor-entidad-objeto_familia y calcula cantidad y monto sobre una misma ventana de 15 días. Fraccionamiento conserva el monto original para mantener el significado de las comparaciones con cuantías normativas.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114_2401388243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16_2401388243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18_2401388243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0_2401388243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2_2401388243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4_2401388243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6_2401388243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8_2401388243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30_2401388243">
            <w:r>
              <w:rPr>
                <w:rStyle w:val="IndexLink"/>
              </w:rPr>
              <w:t>3.1 Objeto-familia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32_2401388243">
            <w:r>
              <w:rPr>
                <w:rStyle w:val="IndexLink"/>
              </w:rPr>
              <w:t>3.2 Ventana coherente de 15 días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34_2401388243">
            <w:r>
              <w:rPr>
                <w:rStyle w:val="IndexLink"/>
              </w:rPr>
              <w:t>3.3 Contexto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36_2401388243">
            <w:r>
              <w:rPr>
                <w:rStyle w:val="IndexLink"/>
              </w:rPr>
              <w:t>3.4 División para evaluación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38_2401388243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0_2401388243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2_2401388243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4_2401388243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6_2401388243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8_2401388243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0_2401388243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2_2401388243">
            <w:r>
              <w:rPr>
                <w:rStyle w:val="IndexLink"/>
              </w:rPr>
              <w:t>Distribución de pagos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4_2401388243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6_2401388243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8_2401388243">
            <w:r>
              <w:rPr>
                <w:rStyle w:val="IndexLink"/>
              </w:rPr>
              <w:t>Limitación institucional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0_2401388243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116_2401388243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3118_2401388243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3120_2401388243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122_2401388243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124_2401388243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el contrato temporal, lexical y normativo previo al modelo de fraccionamiento.</w:t>
      </w:r>
    </w:p>
    <w:p>
      <w:pPr>
        <w:pStyle w:val="Heading1"/>
        <w:spacing w:lineRule="exact" w:line="240" w:before="240" w:after="120"/>
        <w:rPr/>
      </w:pPr>
      <w:bookmarkStart w:id="6" w:name="__RefHeading___Toc3126_2401388243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3128_2401388243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130_2401388243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Objeto-familia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firma objeto_familia aplica una normalización lexical conservadora y sinónimos controlados. Su propósito es agrupar variaciones menores sin depender de embeddings opacos y conservando trazabilidad reproducible.</w:t>
      </w:r>
    </w:p>
    <w:p>
      <w:pPr>
        <w:pStyle w:val="Heading2"/>
        <w:spacing w:lineRule="exact" w:line="240" w:before="180" w:after="80"/>
        <w:rPr/>
      </w:pPr>
      <w:bookmarkStart w:id="9" w:name="__RefHeading___Toc3132_2401388243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Ventana coherente de 15 días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max_contratos_ventana_15d y monto_total_ventana_15d proceden de la misma ventana seleccionada. Esto evita presentar dos indicadores como si describieran un mismo episodio cuando pertenecen a intervalos distintos.</w:t>
      </w:r>
    </w:p>
    <w:p>
      <w:pPr>
        <w:pStyle w:val="Heading2"/>
        <w:spacing w:lineRule="exact" w:line="240" w:before="180" w:after="80"/>
        <w:rPr/>
      </w:pPr>
      <w:bookmarkStart w:id="10" w:name="__RefHeading___Toc3134_2401388243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Contexto normativo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cuando existe. El texto libre funciona como fallback conservador. Las cuantías se parametrizan por fecha/categoría y no se aproximan para periodos desconocidos.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Cantidad total de contratos del grupo proveedor-entidad-familia.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Mayor concentración de contratos dentro de una ventana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 esa misma ventana seleccionada.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montos cercanos por debajo de la cuantía parametrizada.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136_2401388243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División para evaluación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evaluador Spark reserva 62 grupos para holdout final y mantiene 202 en desarrollo. La unidad de split incluye proveedor, entidad y familia de objeto.</w:t>
      </w:r>
    </w:p>
    <w:p>
      <w:pPr>
        <w:pStyle w:val="Heading1"/>
        <w:spacing w:lineRule="exact" w:line="240" w:before="240" w:after="120"/>
        <w:rPr/>
      </w:pPr>
      <w:bookmarkStart w:id="12" w:name="__RefHeading___Toc3138_2401388243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Normalización determinística de objetos contractuales.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con paridad pandas/Spark.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 umbrales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Reserva de holdout antes del FIT del preprocesador.</w:t>
      </w:r>
    </w:p>
    <w:p>
      <w:pPr>
        <w:pStyle w:val="Heading1"/>
        <w:spacing w:lineRule="exact" w:line="240" w:before="240" w:after="120"/>
        <w:rPr/>
      </w:pPr>
      <w:bookmarkStart w:id="13" w:name="__RefHeading___Toc3140_2401388243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feature engineering temporal/normativo y la frontera pandas/Spark están implementados. La validación jurídica de cada caso requiere revisión funcional.</w:t>
      </w:r>
    </w:p>
    <w:p>
      <w:pPr>
        <w:pStyle w:val="Heading1"/>
        <w:spacing w:lineRule="exact" w:line="240" w:before="240" w:after="120"/>
        <w:rPr/>
      </w:pPr>
      <w:bookmarkStart w:id="14" w:name="__RefHeading___Toc3142_2401388243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y no una determinación jurídica por sí sola.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similitud lexical es deliberadamente conservadora; casos semánticos más complejos podrían requerir una estrategia institucional adicional.</w:t>
      </w:r>
    </w:p>
    <w:p>
      <w:pPr>
        <w:pStyle w:val="Heading1"/>
        <w:spacing w:lineRule="exact" w:line="240" w:before="240" w:after="120"/>
        <w:rPr/>
      </w:pPr>
      <w:bookmarkStart w:id="15" w:name="__RefHeading___Toc3144_2401388243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mantiene trazabilidad al agrupar variantes lexicales y garantiza que cantidad y monto describan el mismo intervalo. Esa coherencia debe preservarse en cualquier integración institucional.</w:t>
      </w:r>
    </w:p>
    <w:p>
      <w:pPr>
        <w:pStyle w:val="Heading1"/>
        <w:spacing w:lineRule="exact" w:line="240" w:before="240" w:after="120"/>
        <w:rPr/>
      </w:pPr>
      <w:bookmarkStart w:id="16" w:name="__RefHeading___Toc3146_2401388243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7" w:name="__RefHeading___Toc3148_2401388243"/>
      <w:bookmarkEnd w:id="17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8" w:name="__RefHeading___Toc3150_2401388243"/>
      <w:bookmarkEnd w:id="18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9" w:name="__RefHeading___Toc3152_2401388243"/>
      <w:bookmarkEnd w:id="19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3154_2401388243"/>
      <w:bookmarkEnd w:id="20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3156_2401388243"/>
      <w:bookmarkEnd w:id="21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2" w:name="__RefHeading___Toc3158_2401388243"/>
      <w:bookmarkEnd w:id="22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3160_2401388243"/>
      <w:bookmarkEnd w:id="2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Preprocesamiento para Detección de Posible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2026-08-15T05:57:47Z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2026-08-15T05:57:50Z</dcterms:modified>
  <cp:revision>2</cp:revision>
  <dc:subject/>
  <dc:title>Preprocesamiento para Detección de Posible Fraccionamiento - Prototipo independiente CGR 1.8.2</dc:title>
</cp:coreProperties>
</file>