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Publicar resultados hacia SQL Server / SSRS para consumo desde Power BI, tal como especifica la arquitectura institucional.</w:t>
      </w:r>
    </w:p>
    <w:p>
      <w:pPr>
        <w:pStyle w:val="Heading1"/>
        <w:spacing w:after="150" w:before="300"/>
      </w:pPr>
      <w:r>
        <w:t xml:space="preserve">12.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La lógica de modelado fue validada en scikit-learn y en Apache Spark MLlib real (Sección 8), orquestada de punta a punta con Apache Airflow real (Sección 9), y optimizada mediante búsqueda sistemática de hiperparámetros en ambas plataformas (Sección 10) — no solo de forma teórica en ningún punto del pipeline.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2026-08-06T20:16:09.790Z</dcterms:created>
  <dcterms:modified xsi:type="dcterms:W3CDTF">2026-08-06T20:16:09.798Z</dcterms:modified>
</cp:coreProperties>
</file>

<file path=docProps/custom.xml><?xml version="1.0" encoding="utf-8"?>
<Properties xmlns="http://schemas.openxmlformats.org/officeDocument/2006/custom-properties" xmlns:vt="http://schemas.openxmlformats.org/officeDocument/2006/docPropsVTypes"/>
</file>