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por naturaleza (ver explicación abajo, no un bloqueo de librería)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es un caso distinto y no simulable con el mismo truco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son primariamente una librería que falte, sino una arquitectura que requiere múltiples máquinas físicas distintas conectadas en red. Se investigó explícitamente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w:t>
      </w:r>
    </w:p>
    <w:p>
      <w:pPr>
        <w:spacing w:after="160"/>
      </w:pPr>
      <w:r>
        <w:rPr>
          <w:sz w:val="22"/>
          <w:szCs w:val="22"/>
        </w:rPr>
        <w:t xml:space="preserve">Más importante que el límite de tamaño: HDFS reparte y replica bloques de datos entre nodos distintos para tolerar la caída de una máquina, y YARN reparte CPU/memoria entre esos mismos nodos. Ambos beneficios dependen, por diseño, de que existan varias máquinas físicas separadas — algo que este entorno de prueba de concepto (un único contenedor) no tiene y no puede simular con más código. Incluso si se lograra instalar MiniDFSCluster/MiniYARNCluster, esas clases están explícitamente diseñadas por Apache para pruebas unitarias, no para demostrar distribución real — no habrían probado nada que Spark en modo local[*] no demuestre ya. Esta es la única pieza del Anexo 2 que queda genuinamente fuera de alcance de este entorno, y solo se puede cerrar con acceso a los servidores reales de la CGR.</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2026-08-07T17:02:44.475Z</dcterms:created>
  <dcterms:modified xsi:type="dcterms:W3CDTF">2026-08-07T17:02:44.475Z</dcterms:modified>
</cp:coreProperties>
</file>

<file path=docProps/custom.xml><?xml version="1.0" encoding="utf-8"?>
<Properties xmlns="http://schemas.openxmlformats.org/officeDocument/2006/custom-properties" xmlns:vt="http://schemas.openxmlformats.org/officeDocument/2006/docPropsVTypes"/>
</file>