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Actualización: se ejecutó también en Spark MLlib real usando KMeans (pyspark.ml.clustering), ya que MLlib no tiene Isolation Forest nativo y no existe un paquete confiable que lo agregue sin acceso a Maven. Resultado real en Spark: 0/8 casos detectados (peor que Isolation Forest, que detectó 3/8) — ver Producto 7, Sección 4.</w:t>
      </w:r>
    </w:p>
    <w:p>
      <w:pPr>
        <w:pStyle w:val="ListParagraph"/>
        <w:numPr>
          <w:ilvl w:val="0"/>
          <w:numId w:val="1"/>
        </w:numPr>
        <w:spacing w:after="70"/>
      </w:pPr>
      <w:r>
        <w:rPr>
          <w:sz w:val="21"/>
          <w:szCs w:val="21"/>
        </w:rPr>
        <w:t xml:space="preserve">Documentación de parámetros: ver src/modelo_fraccionamiento.py y src/spark/modelo_fraccionamiento_spark.py.</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 en scikit-learn y en Spark MLlib real.</w:t>
      </w:r>
    </w:p>
    <w:p>
      <w:pPr>
        <w:pStyle w:val="ListParagraph"/>
        <w:numPr>
          <w:ilvl w:val="0"/>
          <w:numId w:val="1"/>
        </w:numPr>
        <w:spacing w:after="70"/>
      </w:pPr>
      <w:r>
        <w:rPr>
          <w:sz w:val="21"/>
          <w:szCs w:val="21"/>
        </w:rPr>
        <w:t xml:space="preserve">Diseño y prueba de la regla interpretable basada en el umbral normativo, reproducida sin cambios en ambas plataformas.</w:t>
      </w:r>
    </w:p>
    <w:p>
      <w:pPr>
        <w:pStyle w:val="ListParagraph"/>
        <w:numPr>
          <w:ilvl w:val="0"/>
          <w:numId w:val="1"/>
        </w:numPr>
        <w:spacing w:after="70"/>
      </w:pPr>
      <w:r>
        <w:rPr>
          <w:sz w:val="21"/>
          <w:szCs w:val="21"/>
        </w:rPr>
        <w:t xml:space="preserve">Comparación cuantitativa entre los tres enfoques — Isolation Forest, KMeans en Spark, y la regla (ver Producto 7).</w:t>
      </w:r>
    </w:p>
    <w:p>
      <w:pPr>
        <w:pStyle w:val="Heading1"/>
        <w:spacing w:after="140" w:before="260"/>
      </w:pPr>
      <w:r>
        <w:t xml:space="preserve">5. Grado de Cumplimiento del Producto</w:t>
      </w:r>
    </w:p>
    <w:p>
      <w:pPr>
        <w:spacing w:after="140"/>
      </w:pPr>
      <w:r>
        <w:rPr>
          <w:sz w:val="21"/>
          <w:szCs w:val="21"/>
        </w:rPr>
        <w:t xml:space="preserve">100% completado, incluyendo la validación en Spark MLlib real. El hallazgo se reforzó con evidencia adicional: ni Isolation Forest ni KMeans (ambos algoritmos estadísticos, en dos plataformas distintas) igualan la precisión de la regla interpretable —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y el paquete GraphFrames/Delta que sí requerían Maven se resolvieron por separado (ver Producto 7) — pero Isolation Forest en sí no tiene equivalente instalable en MLlib, por lo que se usó KMeans como sustituto nativo, con peor resultado (0/8 vs. 3/8), reforzando aún más la conclusión de este producto.</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2026-08-07T21:34:34.071Z</dcterms:created>
  <dcterms:modified xsi:type="dcterms:W3CDTF">2026-08-07T21:34:34.071Z</dcterms:modified>
</cp:coreProperties>
</file>

<file path=docProps/custom.xml><?xml version="1.0" encoding="utf-8"?>
<Properties xmlns="http://schemas.openxmlformats.org/officeDocument/2006/custom-properties" xmlns:vt="http://schemas.openxmlformats.org/officeDocument/2006/docPropsVTypes"/>
</file>