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sobre Hadoop, según el Anexo 2 del TDR).</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Añadir el módulo de análisis de grafos (proveedor-funcionario) con GraphX, en vez de networkx (usado en la Sección 5 por rapidez de desarrollo).</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sin necesidad de comprometer de inmediato una consultoría individual de 180 días y S/. 72,000.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b347bcadb7e937ea6fa551fbfbcc33300146b56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2026-08-06T20:45:51.900Z</dcterms:created>
  <dcterms:modified xsi:type="dcterms:W3CDTF">2026-08-06T20:45:51.912Z</dcterms:modified>
</cp:coreProperties>
</file>

<file path=docProps/custom.xml><?xml version="1.0" encoding="utf-8"?>
<Properties xmlns="http://schemas.openxmlformats.org/officeDocument/2006/custom-properties" xmlns:vt="http://schemas.openxmlformats.org/officeDocument/2006/docPropsVTypes"/>
</file>