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antes de comprometer una consultoría individual de S/. 72,000 por 180 días calendario.</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sobre Hadoop, según el Anexo 2 del TDR).</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Añadir el módulo de análisis de grafos (proveedor-funcionario) con GraphX, en vez de networkx (usado en la Sección 5 por rapidez de desarrollo).</w:t>
      </w:r>
    </w:p>
    <w:p>
      <w:pPr>
        <w:pStyle w:val="ListParagraph"/>
        <w:numPr>
          <w:ilvl w:val="0"/>
          <w:numId w:val="1"/>
        </w:numPr>
        <w:spacing w:after="80"/>
      </w:pPr>
      <w:r>
        <w:rPr>
          <w:sz w:val="22"/>
          <w:szCs w:val="22"/>
        </w:rPr>
        <w:t xml:space="preserve">Publicar resultados hacia SQL Server / SSRS para consumo desde Power BI, tal como especifica la arquitectura institucional.</w:t>
      </w:r>
    </w:p>
    <w:p>
      <w:pPr>
        <w:pStyle w:val="Heading1"/>
        <w:spacing w:after="150" w:before="300"/>
      </w:pPr>
      <w:r>
        <w:t xml:space="preserve">13.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sin necesidad de comprometer de inmediato una consultoría individual de 180 días y S/. 72,000. La lógica de modelado fue validada en scikit-learn y en Apache Spark MLlib real (Sección 8), orquestada de punta a punta con Apache Airflow real (Sección 9), y optimizada mediante búsqueda sistemática de hiperparámetros en ambas plataformas (Sección 10) — no solo de forma teórica en ningún punto del pipeline.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2026-08-06T20:36:55.005Z</dcterms:created>
  <dcterms:modified xsi:type="dcterms:W3CDTF">2026-08-06T20:36:55.017Z</dcterms:modified>
</cp:coreProperties>
</file>

<file path=docProps/custom.xml><?xml version="1.0" encoding="utf-8"?>
<Properties xmlns="http://schemas.openxmlformats.org/officeDocument/2006/custom-properties" xmlns:vt="http://schemas.openxmlformats.org/officeDocument/2006/docPropsVTypes"/>
</file>