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el pipeline de orquestación (Airflow/DAGs) ni el proceso de certificación institucional descritos en el TDR.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Validación cruzada rigurosa vía pyspark.ml.tuning.CrossValidator (aquí se evaluó sobre el conjunto completo de entrenamiento, no con un esquema k-fold estratificado nativo de Spark).</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Ruta de Escalamiento Restante</w:t>
      </w:r>
    </w:p>
    <w:p>
      <w:pPr>
        <w:spacing w:after="160"/>
      </w:pPr>
      <w:r>
        <w:rPr>
          <w:sz w:val="22"/>
          <w:szCs w:val="22"/>
        </w:rPr>
        <w:t xml:space="preserve">Con la validación de la Sección 8, el trabajo pendiente para producción se reduce a infraestructura y gobernanza de datos, no a portar la lógica de modelado — eso ya se ejecutó en Spark MLlib real:</w:t>
      </w:r>
    </w:p>
    <w:p>
      <w:pPr>
        <w:pStyle w:val="ListParagraph"/>
        <w:numPr>
          <w:ilvl w:val="0"/>
          <w:numId w:val="1"/>
        </w:numPr>
        <w:spacing w:after="80"/>
      </w:pPr>
      <w:r>
        <w:rPr>
          <w:sz w:val="22"/>
          <w:szCs w:val="22"/>
        </w:rPr>
        <w:t xml:space="preserve">Conectar la ingesta real a las capas Plata/Oro del Lakehouse (reemplazando el CSV local por lectura del Delta Lake sobre Hadoop, según el Anexo 2 del TDR).</w:t>
      </w:r>
    </w:p>
    <w:p>
      <w:pPr>
        <w:pStyle w:val="ListParagraph"/>
        <w:numPr>
          <w:ilvl w:val="0"/>
          <w:numId w:val="1"/>
        </w:numPr>
        <w:spacing w:after="80"/>
      </w:pPr>
      <w:r>
        <w:rPr>
          <w:sz w:val="22"/>
          <w:szCs w:val="22"/>
        </w:rPr>
        <w:t xml:space="preserve">Orquestar el pipeline con Airflow (ya disponible en la plataforma de la CGR según el Anexo 2).</w:t>
      </w:r>
    </w:p>
    <w:p>
      <w:pPr>
        <w:pStyle w:val="ListParagraph"/>
        <w:numPr>
          <w:ilvl w:val="0"/>
          <w:numId w:val="1"/>
        </w:numPr>
        <w:spacing w:after="80"/>
      </w:pPr>
      <w:r>
        <w:rPr>
          <w:sz w:val="22"/>
          <w:szCs w:val="22"/>
        </w:rPr>
        <w:t xml:space="preserve">Ejecutar sobre un clúster YARN real, no en modo local[*].</w:t>
      </w:r>
    </w:p>
    <w:p>
      <w:pPr>
        <w:pStyle w:val="ListParagraph"/>
        <w:numPr>
          <w:ilvl w:val="0"/>
          <w:numId w:val="1"/>
        </w:numPr>
        <w:spacing w:after="80"/>
      </w:pPr>
      <w:r>
        <w:rPr>
          <w:sz w:val="22"/>
          <w:szCs w:val="22"/>
        </w:rPr>
        <w:t xml:space="preserve">Añadir el módulo de análisis de grafos (proveedor-funcionario) con GraphX, en vez de networkx (usado en la Sección 5 por rapidez de desarrollo).</w:t>
      </w:r>
    </w:p>
    <w:p>
      <w:pPr>
        <w:pStyle w:val="ListParagraph"/>
        <w:numPr>
          <w:ilvl w:val="0"/>
          <w:numId w:val="1"/>
        </w:numPr>
        <w:spacing w:after="80"/>
      </w:pPr>
      <w:r>
        <w:rPr>
          <w:sz w:val="22"/>
          <w:szCs w:val="22"/>
        </w:rPr>
        <w:t xml:space="preserve">Publicar resultados hacia SQL Server / SSRS para consumo desde Power BI, tal como especifica la arquitectura institucional.</w:t>
      </w:r>
    </w:p>
    <w:p>
      <w:pPr>
        <w:pStyle w:val="Heading1"/>
        <w:spacing w:after="150" w:before="300"/>
      </w:pPr>
      <w:r>
        <w:t xml:space="preserve">10.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y que la lógica de modelado ya fue validada tanto en scikit-learn como en Apache Spark MLlib real (Sección 8), no solo de forma teórica.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5c3a49ac6dbf7e1a2a923c9e4a59002b2de3b228.png"/><Relationship Id="rId12" Type="http://schemas.openxmlformats.org/officeDocument/2006/relationships/image" Target="media/9f6a7ac8314501670f78faf50ba498074c5c504e.png"/><Relationship Id="rId13" Type="http://schemas.openxmlformats.org/officeDocument/2006/relationships/image" Target="media/4a41daf4206a5ac99a458805baa36d276a80aca6.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2026-08-06T19:57:18.062Z</dcterms:created>
  <dcterms:modified xsi:type="dcterms:W3CDTF">2026-08-06T19:57:18.072Z</dcterms:modified>
</cp:coreProperties>
</file>

<file path=docProps/custom.xml><?xml version="1.0" encoding="utf-8"?>
<Properties xmlns="http://schemas.openxmlformats.org/officeDocument/2006/custom-properties" xmlns:vt="http://schemas.openxmlformats.org/officeDocument/2006/docPropsVTypes"/>
</file>