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137178097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137178097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1371780974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1371780974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1371780974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137178097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1371780974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1371780974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1371780974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1371780974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1371780974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1371780974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1371780974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1371780974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1371780974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1371780974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1371780974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1371780974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1371780974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1371780974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1371780974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1371780974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1371780974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1371780974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137178097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265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137178097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undefined. La métrica primaria es AUC-PR por desbalance.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max_depth=4 y min_samples_leaf=1, con AUC-PR CV 1.000.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137178097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ranking y umbral calibrados solo en desarrollo. La selección se realiza por AUC-PR media para ranking; F1 medio para contamination/umbral binario;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137178097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k=2;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3130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137178097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137178097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137178097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137178097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137178097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1371780974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a67fbd582a71997ee08d1677be628ef884c03688.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1371780974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1371780974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1371780974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1371780974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1371780974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1371780974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1371780974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2377</Words>
  <Characters>15561</Characters>
  <CharactersWithSpaces>17561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2026-08-11T01:01:42Z</dcterms:modified>
  <cp:revision>2</cp:revision>
  <dc:subject/>
  <dc:title>Informe Final Técnico Consolidado - Prototipo independiente CGR 1.8.2</dc:title>
</cp:coreProperties>
</file>