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734_1371780974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procesaron 4,296 contratos sintéticos para construir 2,362 pares proveedor-entidad, con 30 casos positivos sembrados. El flujo implementa limpieza, tratamiento de outliers, transformación, feature engineering y una división reproducible de datos.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734_1371780974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6_1371780974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8_1371780974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0_1371780974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2_1371780974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4_1371780974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6_1371780974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8_1371780974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0_1371780974">
            <w:r>
              <w:rPr>
                <w:rStyle w:val="IndexLink"/>
              </w:rPr>
              <w:t>3.1 Imputación y calidad de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2_1371780974">
            <w:r>
              <w:rPr>
                <w:rStyle w:val="IndexLink"/>
              </w:rPr>
              <w:t>3.2 Tratamiento de outliers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4_1371780974">
            <w:r>
              <w:rPr>
                <w:rStyle w:val="IndexLink"/>
              </w:rPr>
              <w:t>3.3 Codificación y normalización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6_1371780974">
            <w:r>
              <w:rPr>
                <w:rStyle w:val="IndexLink"/>
              </w:rPr>
              <w:t>3.4 Feature engineering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8_1371780974">
            <w:r>
              <w:rPr>
                <w:rStyle w:val="IndexLink"/>
              </w:rPr>
              <w:t>3.5 División y publicación de datos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0_1371780974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2_1371780974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4_1371780974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6_1371780974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8_1371780974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70_1371780974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2_1371780974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4_1371780974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6_1371780974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8_1371780974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80_1371780974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82_1371780974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736_1371780974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calidad y preparación del benchmark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738_1371780974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740_1371780974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742_1371780974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744_1371780974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previa al modelado de favoritismo y cubre los componentes de limpieza y preprocesamiento exigidos por el TDR.</w:t>
      </w:r>
    </w:p>
    <w:p>
      <w:pPr>
        <w:pStyle w:val="Heading1"/>
        <w:spacing w:lineRule="exact" w:line="240" w:before="240" w:after="120"/>
        <w:rPr/>
      </w:pPr>
      <w:bookmarkStart w:id="6" w:name="__RefHeading___Toc1746_1371780974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748_1371780974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750_1371780974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 y calidad de datos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calidad y preparación del benchmark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000"/>
        <w:gridCol w:w="3799"/>
      </w:tblGrid>
      <w:tr>
        <w:trPr>
          <w:tblHeader w:val="true"/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4,296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 en fuente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263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 menos un nulo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259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894,438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sobre P99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43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2,362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1752_1371780974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outliers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montos extremos se identifican mediante el percentil 99 y se controlan en la transformación para impedir que valores aislados dominen el entrenamiento. La operación es determinística y queda cubierta por el pipeline reproducible.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754_1371780974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Codificación y normalización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variables numéricas se preparan de forma reproducible y las categorías se conservan con semántica explícita. Contratación Directa y Comparación de Precios se modelan como variables separadas, evitando equiparar procedimientos distintos.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1756_1371780974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monto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porcentaje de Comparación de Precios,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funcionarios distintos, días de actividad, contratos por mes y monto por funcionario.</w:t>
      </w:r>
    </w:p>
    <w:p>
      <w:pPr>
        <w:pStyle w:val="Heading2"/>
        <w:spacing w:lineRule="exact" w:line="240" w:before="180" w:after="80"/>
        <w:rPr/>
      </w:pPr>
      <w:bookmarkStart w:id="12" w:name="__RefHeading___Toc1758_1371780974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División y publicación de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analítico se publica en lakehouse/plata/dataset_favoritismo.csv. Las particiones de validación se realizan en las etapas de comparación y tuning con esquemas estratificados reproducibles.</w:t>
      </w:r>
    </w:p>
    <w:p>
      <w:pPr>
        <w:pStyle w:val="Heading1"/>
        <w:spacing w:lineRule="exact" w:line="240" w:before="240" w:after="120"/>
        <w:rPr/>
      </w:pPr>
      <w:bookmarkStart w:id="13" w:name="__RefHeading___Toc1760_1371780974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EDA, imputación, control de outliers, transformación y feature engineering.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Publicación de datos limpios/features en capa Plata.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columnas, conteos y etiquetas en GitHub Actions.</w:t>
      </w:r>
    </w:p>
    <w:p>
      <w:pPr>
        <w:pStyle w:val="Heading1"/>
        <w:spacing w:lineRule="exact" w:line="240" w:before="240" w:after="120"/>
        <w:rPr/>
      </w:pPr>
      <w:bookmarkStart w:id="14" w:name="__RefHeading___Toc1762_1371780974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Cumplimiento técnico completo dentro del PoC. La sustitución de datos sintéticos por fuentes internas y su validación funcional dependen del entorno institucional CGR.</w:t>
      </w:r>
    </w:p>
    <w:p>
      <w:pPr>
        <w:pStyle w:val="Heading1"/>
        <w:spacing w:lineRule="exact" w:line="240" w:before="240" w:after="120"/>
        <w:rPr/>
      </w:pPr>
      <w:bookmarkStart w:id="15" w:name="__RefHeading___Toc1764_1371780974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es sintético; permite probar el pipeline pero no estimar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información abierta OCDS no contiene todos los atributos institucionales previstos por el TDR.</w:t>
      </w:r>
    </w:p>
    <w:p>
      <w:pPr>
        <w:pStyle w:val="Heading1"/>
        <w:spacing w:lineRule="exact" w:line="240" w:before="240" w:after="120"/>
        <w:rPr/>
      </w:pPr>
      <w:bookmarkStart w:id="16" w:name="__RefHeading___Toc1766_1371780974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de favoritismo es reproducible, auditable y coherente con la semántica de contratación. Se recomienda conservar esta separación de modalidades y recalibrar el feature engineering cuando exista ground truth validado por auditores.</w:t>
      </w:r>
    </w:p>
    <w:p>
      <w:pPr>
        <w:pStyle w:val="Heading1"/>
        <w:spacing w:lineRule="exact" w:line="240" w:before="240" w:after="120"/>
        <w:rPr/>
      </w:pPr>
      <w:bookmarkStart w:id="17" w:name="__RefHeading___Toc1768_1371780974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18" w:name="__RefHeading___Toc1770_1371780974"/>
      <w:bookmarkEnd w:id="18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9" w:name="__RefHeading___Toc1772_1371780974"/>
      <w:bookmarkEnd w:id="19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0" w:name="__RefHeading___Toc1774_1371780974"/>
      <w:bookmarkEnd w:id="20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1776_1371780974"/>
      <w:bookmarkEnd w:id="21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2" w:name="__RefHeading___Toc1778_1371780974"/>
      <w:bookmarkEnd w:id="22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3" w:name="__RefHeading___Toc1780_1371780974"/>
      <w:bookmarkEnd w:id="23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4" w:name="__RefHeading___Toc1782_1371780974"/>
      <w:bookmarkEnd w:id="2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2026-08-11T01:01:39Z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2026-08-11T01:01:43Z</dcterms:modified>
  <cp:revision>2</cp:revision>
  <dc:subject/>
  <dc:title>Limpieza y Preprocesamiento de Datos para Identificación de Proveedores Favoritos - Prototipo independiente CGR 1.8.2</dc:title>
</cp:coreProperties>
</file>