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5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Limpieza y Preprocesamiento de Datos para Detección de Fraccionamiento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3134_1371780974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Se construyeron 265 grupos proveedor-entidad-objeto con 24 positivos sintéticos. El feature engineering incorpora ventanas temporales y cuantías normativas dependientes de fecha y categoría, evitando un umbral fijo universal.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3134_1371780974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36_1371780974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38_1371780974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40_1371780974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42_1371780974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44_1371780974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46_1371780974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48_1371780974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50_1371780974">
            <w:r>
              <w:rPr>
                <w:rStyle w:val="IndexLink"/>
              </w:rPr>
              <w:t>3.1 Imputación, outliers y transformación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52_1371780974">
            <w:r>
              <w:rPr>
                <w:rStyle w:val="IndexLink"/>
              </w:rPr>
              <w:t>3.2 Feature engineering temporal y normativo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54_1371780974">
            <w:r>
              <w:rPr>
                <w:rStyle w:val="IndexLink"/>
              </w:rPr>
              <w:t>3.3 División de los datos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56_1371780974">
            <w:r>
              <w:rPr>
                <w:rStyle w:val="IndexLink"/>
              </w:rPr>
              <w:t>3.4 Publicación de capa Plata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58_1371780974">
            <w:r>
              <w:rPr>
                <w:rStyle w:val="IndexLink"/>
              </w:rPr>
              <w:t>4. Actividades Realizadas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60_1371780974">
            <w:r>
              <w:rPr>
                <w:rStyle w:val="IndexLink"/>
              </w:rPr>
              <w:t>5. Grado de Cumplimiento del Producto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62_1371780974">
            <w:r>
              <w:rPr>
                <w:rStyle w:val="IndexLink"/>
              </w:rPr>
              <w:t>6. Dificultades y Limitaciones Encontradas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64_1371780974">
            <w:r>
              <w:rPr>
                <w:rStyle w:val="IndexLink"/>
              </w:rPr>
              <w:t>7. Conclusiones y Recomendaciones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66_1371780974">
            <w:r>
              <w:rPr>
                <w:rStyle w:val="IndexLink"/>
              </w:rPr>
              <w:t>8. Anexos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68_1371780974">
            <w:r>
              <w:rPr>
                <w:rStyle w:val="IndexLink"/>
              </w:rPr>
              <w:t>ANEXO TÉCNICO — PAGOS, MODALIDADES Y ARQUITECTURA OPERACIONAL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70_1371780974">
            <w:r>
              <w:rPr>
                <w:rStyle w:val="IndexLink"/>
              </w:rPr>
              <w:t>Resultados reproducibles de pagos y modalidades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72_1371780974">
            <w:r>
              <w:rPr>
                <w:rStyle w:val="IndexLink"/>
              </w:rPr>
              <w:t>Distribución de pagos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74_1371780974">
            <w:r>
              <w:rPr>
                <w:rStyle w:val="IndexLink"/>
              </w:rPr>
              <w:t>Modalidades por régimen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76_1371780974">
            <w:r>
              <w:rPr>
                <w:rStyle w:val="IndexLink"/>
              </w:rPr>
              <w:t>Arquitectura operacional Spark-native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78_1371780974">
            <w:r>
              <w:rPr>
                <w:rStyle w:val="IndexLink"/>
              </w:rPr>
              <w:t>Limitación institucional</w:t>
              <w:tab/>
              <w:t>7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80_1371780974">
            <w:r>
              <w:rPr>
                <w:rStyle w:val="IndexLink"/>
              </w:rPr>
              <w:t>Referencias Bibliográficas</w:t>
              <w:tab/>
              <w:t>7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3136_1371780974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Features principales del dataset de fraccionamiento</w:t>
      </w:r>
    </w:p>
    <w:p>
      <w:pPr>
        <w:pStyle w:val="Heading1"/>
        <w:spacing w:lineRule="exact" w:line="240" w:before="240" w:after="120"/>
        <w:rPr/>
      </w:pPr>
      <w:bookmarkStart w:id="2" w:name="__RefHeading___Toc3138_1371780974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Serie temporal del benchmark de contratación</w:t>
      </w:r>
    </w:p>
    <w:p>
      <w:pPr>
        <w:pStyle w:val="Heading1"/>
        <w:spacing w:lineRule="exact" w:line="240" w:before="240" w:after="120"/>
        <w:rPr/>
      </w:pPr>
      <w:bookmarkStart w:id="3" w:name="__RefHeading___Toc3140_1371780974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3142_1371780974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3144_1371780974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documenta la preparación de datos específica para posibles patrones de fraccionamiento, incluidos limpieza, transformación, feature engineering y división independiente para validación.</w:t>
      </w:r>
    </w:p>
    <w:p>
      <w:pPr>
        <w:pStyle w:val="Heading1"/>
        <w:spacing w:lineRule="exact" w:line="240" w:before="240" w:after="120"/>
        <w:rPr/>
      </w:pPr>
      <w:bookmarkStart w:id="6" w:name="__RefHeading___Toc3146_1371780974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3148_1371780974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3150_1371780974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Imputación, outliers y transformación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flujo reutiliza controles de calidad del dataset contractual y transforma montos y fechas en variables aptas para análisis temporal y detección de anomalías.</w:t>
      </w:r>
    </w:p>
    <w:p>
      <w:pPr>
        <w:pStyle w:val="Heading2"/>
        <w:spacing w:lineRule="exact" w:line="240" w:before="180" w:after="80"/>
        <w:rPr/>
      </w:pPr>
      <w:bookmarkStart w:id="9" w:name="__RefHeading___Toc3152_1371780974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Feature engineering temporal y normativo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Features principales del dataset de fraccionamiento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300"/>
        <w:gridCol w:w="5499"/>
      </w:tblGrid>
      <w:tr>
        <w:trPr>
          <w:tblHeader w:val="true"/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Feature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Interpretación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n_contratos_grupo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Número de contratos del grupo proveedor-entidad-objeto.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max_contratos_ventana_15d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Máximo de contratos observados en una ventana móvil de 15 días.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monto_total_ventana_15d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 acumulado dentro de la ventana de máxima concentración.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pct_montos_bajo_umbral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Proporción de contratos bajo el 95% de la cuantía parametrizada para fecha/régimen/categoría.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monto_total_grupo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 acumulado del grupo analítico.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categoría estructurada goods/services/works tiene prioridad sobre inferencias textuales para seleccionar el contexto normativo cuando está disponible.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Serie temporal del benchmark de contratación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0" w:name="__RefHeading___Toc3154_1371780974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División de los datos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diseño de evaluación separa un holdout final antes del tuning: 185 grupos quedan en desarrollo y 80 en holdout, impidiendo que el conjunto final participe en la selección de hiperparámetros.</w:t>
      </w:r>
    </w:p>
    <w:p>
      <w:pPr>
        <w:pStyle w:val="Heading2"/>
        <w:spacing w:lineRule="exact" w:line="240" w:before="180" w:after="80"/>
        <w:rPr/>
      </w:pPr>
      <w:bookmarkStart w:id="11" w:name="__RefHeading___Toc3156_1371780974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Publicación de capa Plata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dataset resultante se publica en lakehouse/plata/dataset_fraccionamiento.csv y es consumido por la ruta sklearn y por la implementación Spark.</w:t>
      </w:r>
    </w:p>
    <w:p>
      <w:pPr>
        <w:pStyle w:val="Heading1"/>
        <w:spacing w:lineRule="exact" w:line="240" w:before="240" w:after="120"/>
        <w:rPr/>
      </w:pPr>
      <w:bookmarkStart w:id="12" w:name="__RefHeading___Toc3158_1371780974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Cálculo de ventanas temporales y agregados por proveedor-entidad-objeto.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Consulta del motor normativo parametrizado por fecha y categoría.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Separación desarrollo/holdout antes del tuning.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Pruebas de regresión para categorías, fechas, umbrales y semántica de señales.</w:t>
      </w:r>
    </w:p>
    <w:p>
      <w:pPr>
        <w:pStyle w:val="Heading1"/>
        <w:spacing w:lineRule="exact" w:line="240" w:before="240" w:after="120"/>
        <w:rPr/>
      </w:pPr>
      <w:bookmarkStart w:id="13" w:name="__RefHeading___Toc3160_1371780974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Feature engineering, división y publicación en Plata completados para el PoC. La validación jurídica de reglas y fuentes internas depende de especialistas y sistemas CGR.</w:t>
      </w:r>
    </w:p>
    <w:p>
      <w:pPr>
        <w:pStyle w:val="Heading1"/>
        <w:spacing w:lineRule="exact" w:line="240" w:before="240" w:after="120"/>
        <w:rPr/>
      </w:pPr>
      <w:bookmarkStart w:id="14" w:name="__RefHeading___Toc3162_1371780974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ventana de 15 días es una heurística analítica configurable y no constituye por sí sola una regla jurídica.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Las cuantías y regímenes deben mantenerse versionados frente a futuros cambios normativos.</w:t>
      </w:r>
    </w:p>
    <w:p>
      <w:pPr>
        <w:pStyle w:val="Heading1"/>
        <w:spacing w:lineRule="exact" w:line="240" w:before="240" w:after="120"/>
        <w:rPr/>
      </w:pPr>
      <w:bookmarkStart w:id="15" w:name="__RefHeading___Toc3164_1371780974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preprocesamiento combina dimensión temporal, objeto contractual y contexto normativo, lo que resulta más defendible que aplicar un único tope monetario a todo el período analizado.</w:t>
      </w:r>
    </w:p>
    <w:p>
      <w:pPr>
        <w:pStyle w:val="Heading1"/>
        <w:spacing w:lineRule="exact" w:line="240" w:before="240" w:after="120"/>
        <w:rPr/>
      </w:pPr>
      <w:bookmarkStart w:id="16" w:name="__RefHeading___Toc3166_1371780974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Heading1"/>
        <w:spacing w:lineRule="auto" w:line="240" w:before="0" w:after="60"/>
        <w:rPr/>
      </w:pPr>
      <w:bookmarkStart w:id="17" w:name="__RefHeading___Toc3168_1371780974"/>
      <w:bookmarkEnd w:id="17"/>
      <w:r>
        <w:rPr>
          <w:rFonts w:ascii="Arial" w:hAnsi="Arial"/>
          <w:b/>
          <w:sz w:val="22"/>
        </w:rPr>
        <w:t>ANEXO TÉCNICO — PAGOS, MODALIDADES Y ARQUITECTURA OPERACIONAL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el análisis estadístico/exploratorio de pagos, montos contractuales y modalidades y actualiza la descripción de la arquitectura operacional. La evidencia de pagos usa datos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0" w:after="60"/>
        <w:rPr/>
      </w:pPr>
      <w:bookmarkStart w:id="18" w:name="__RefHeading___Toc3170_1371780974"/>
      <w:bookmarkEnd w:id="18"/>
      <w:r>
        <w:rPr>
          <w:rFonts w:ascii="Arial" w:hAnsi="Arial"/>
          <w:b/>
          <w:sz w:val="22"/>
        </w:rPr>
        <w:t>Resultados reproducibles de pagos y modalidades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7790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4296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515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261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93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1601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1565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comparación de modalidades frente a cuantía es únicamente referencial. Contratación Directa, Comparación de Precios, Subasta Inversa, acuerdos marco y otros supuestos pueden depender de condiciones que no se deducen del monto por sí solo; 'requiere revisión de contexto' no equivale a irregularidad.</w:t>
      </w:r>
    </w:p>
    <w:p>
      <w:pPr>
        <w:pStyle w:val="Heading2"/>
        <w:spacing w:lineRule="auto" w:line="240" w:before="0" w:after="60"/>
        <w:rPr/>
      </w:pPr>
      <w:bookmarkStart w:id="19" w:name="__RefHeading___Toc3172_1371780974"/>
      <w:bookmarkEnd w:id="19"/>
      <w:r>
        <w:rPr>
          <w:rFonts w:ascii="Arial" w:hAnsi="Arial"/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2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0" w:name="__RefHeading___Toc3174_1371780974"/>
      <w:bookmarkEnd w:id="20"/>
      <w:r>
        <w:rPr>
          <w:rFonts w:ascii="Arial" w:hAnsi="Arial"/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3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1" w:name="__RefHeading___Toc3176_1371780974"/>
      <w:bookmarkEnd w:id="21"/>
      <w:r>
        <w:rPr>
          <w:rFonts w:ascii="Arial" w:hAnsi="Arial"/>
          <w:b/>
          <w:sz w:val="22"/>
        </w:rPr>
        <w:t>Arquitectura operacional Spark-native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evidencia histórica de modelado Spark se conserva en modo local[*] para reproducibilidad. En paralelo, la ruta operacional TRAIN/INFERENCE admite un master Spark configurable. Cuando source.type=spark_sql, el conector devuelve un Spark DataFrame y el mapping, validación, preprocesamiento, feature engineering y MLlib permanecen en Spark sin toPandas(). Las medianas por objeto aprendidas en TRAIN se persisten como Parquet distribuido y los rankings de INFERENCE se escriben también como Parquet distribuido.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Esta capacidad elimina el cuello de botella pandas del adaptador Spark anterior, pero no sustituye las pruebas de carga, particionamiento, seguridad, rendimiento y robustez que deben ejecutarse con el clúster y volumen institucionales reales.</w:t>
      </w:r>
    </w:p>
    <w:p>
      <w:pPr>
        <w:pStyle w:val="Heading2"/>
        <w:spacing w:lineRule="auto" w:line="240" w:before="0" w:after="60"/>
        <w:rPr/>
      </w:pPr>
      <w:bookmarkStart w:id="22" w:name="__RefHeading___Toc3178_1371780974"/>
      <w:bookmarkEnd w:id="22"/>
      <w:r>
        <w:rPr>
          <w:rFonts w:ascii="Arial" w:hAnsi="Arial"/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SIAF/SEACE, tablas/vistas reales, ground truth, permisos, clúster, DEV/QA/PROD, SQL Server/SSRS, certificación y conformidad depende de la CGR y permanece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23" w:name="__RefHeading___Toc3180_1371780974"/>
      <w:bookmarkEnd w:id="2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8"/>
      <w:footerReference w:type="default" r:id="rId9"/>
      <w:footerReference w:type="first" r:id="rId10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7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Limpieza y Preprocesamiento de Datos para Detección de Fraccionamiento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header" Target="header1.xml"/><Relationship Id="rId9" Type="http://schemas.openxmlformats.org/officeDocument/2006/relationships/footer" Target="footer4.xml"/><Relationship Id="rId10" Type="http://schemas.openxmlformats.org/officeDocument/2006/relationships/footer" Target="footer5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2026-08-11T01:01:39Z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2026-08-11T01:01:44Z</dcterms:modified>
  <cp:revision>2</cp:revision>
  <dc:subject/>
  <dc:title>Limpieza y Preprocesamiento de Datos para Detección de Fraccionamiento - Prototipo independiente CGR 1.8.2</dc:title>
</cp:coreProperties>
</file>