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581_285109762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581_285109762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3_285109762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5_285109762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7_285109762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9_285109762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1_285109762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3_285109762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5_2851097627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7_2851097627">
            <w:r>
              <w:rPr>
                <w:rStyle w:val="IndexLink"/>
              </w:rPr>
              <w:t>3.1 Imputación, outliers y transformación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9_2851097627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1_2851097627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3_2851097627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5_2851097627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7_2851097627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9_2851097627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1_2851097627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3_2851097627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5_2851097627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583_285109762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2585_285109762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2587_285109762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589_285109762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591_285109762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2593_285109762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595_285109762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597_285109762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2599_285109762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2601_285109762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2603_285109762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2605_285109762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2607_285109762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2609_285109762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2611_285109762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2613_285109762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7" w:name="__RefHeading___Toc2615_285109762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2026-08-08T02:22:24Z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2026-08-08T02:22:28Z</dcterms:modified>
  <cp:revision>2</cp:revision>
  <dc:subject/>
  <dc:title>Limpieza y Preprocesamiento de Datos para Detección de Fraccionamiento - Prototipo independiente CGR 1.8.2</dc:title>
</cp:coreProperties>
</file>