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AD1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6E7EC361" w14:textId="7553FFB9"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bottom"/>
          </w:tcPr>
          <w:p w14:paraId="101A61F1" w14:textId="2F7210AF" w:rsidR="006B25BA" w:rsidRDefault="006B25BA" w:rsidP="00AD130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bottom"/>
          </w:tcPr>
          <w:p w14:paraId="5F2C1E36" w14:textId="2BCD1EB4" w:rsidR="006B25BA" w:rsidRDefault="006B25BA" w:rsidP="00AD130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AD130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3B6913C1" w14:textId="771FAFC9"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bottom"/>
          </w:tcPr>
          <w:p w14:paraId="4927A589" w14:textId="3F427C7A" w:rsidR="006B25BA" w:rsidRDefault="006B25BA" w:rsidP="00AD130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bottom"/>
          </w:tcPr>
          <w:p w14:paraId="11064B1E" w14:textId="5975E5CE" w:rsidR="006B25BA" w:rsidRDefault="006B25BA" w:rsidP="00AD130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AD130E">
        <w:trPr>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79AB384A" w14:textId="15A7AE67"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bottom"/>
          </w:tcPr>
          <w:p w14:paraId="389B645F" w14:textId="25886209" w:rsidR="006B25BA" w:rsidRDefault="006B25BA" w:rsidP="00AD130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bottom"/>
          </w:tcPr>
          <w:p w14:paraId="3C666328" w14:textId="1ACCDE8A" w:rsidR="006B25BA" w:rsidRDefault="006B25BA" w:rsidP="00AD130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7265E91F"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3807306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w:t>
      </w:r>
    </w:p>
    <w:p w14:paraId="2CF04B3D" w14:textId="4C3B114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 xml:space="preserve">métodos de recuperación de datos y </w:t>
      </w:r>
      <w:r w:rsidR="00301524">
        <w:rPr>
          <w:rFonts w:ascii="Times New Roman" w:eastAsia="Times New Roman" w:hAnsi="Times New Roman" w:cs="Times New Roman"/>
          <w:sz w:val="20"/>
          <w:szCs w:val="20"/>
        </w:rPr>
        <w:t>aprovechar</w:t>
      </w:r>
      <w:r w:rsidRPr="00D84954">
        <w:rPr>
          <w:rFonts w:ascii="Times New Roman" w:eastAsia="Times New Roman" w:hAnsi="Times New Roman" w:cs="Times New Roman"/>
          <w:sz w:val="20"/>
          <w:szCs w:val="20"/>
        </w:rPr>
        <w:t xml:space="preserve">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1112BEA4"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Pr="00D84954">
        <w:rPr>
          <w:rFonts w:ascii="Times New Roman" w:eastAsia="Times New Roman" w:hAnsi="Times New Roman" w:cs="Times New Roman"/>
          <w:sz w:val="20"/>
          <w:szCs w:val="20"/>
        </w:rPr>
        <w:t xml:space="preserve"> que utilicen diferentes técnicas de recuperación para aplicaciones.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lastRenderedPageBreak/>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3F60E89" w:rsidR="003672B6" w:rsidRPr="0005147F" w:rsidRDefault="00AD130E" w:rsidP="003672B6">
      <w:pPr>
        <w:numPr>
          <w:ilvl w:val="0"/>
          <w:numId w:val="1"/>
        </w:numPr>
        <w:spacing w:after="240"/>
        <w:rPr>
          <w:rFonts w:ascii="Times New Roman" w:eastAsia="Times New Roman" w:hAnsi="Times New Roman" w:cs="Times New Roman"/>
          <w:sz w:val="24"/>
          <w:szCs w:val="24"/>
        </w:rPr>
      </w:pPr>
      <w:r w:rsidRPr="00343FD3">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78C6F5F" wp14:editId="01E8620E">
            <wp:simplePos x="0" y="0"/>
            <wp:positionH relativeFrom="margin">
              <wp:align>left</wp:align>
            </wp:positionH>
            <wp:positionV relativeFrom="page">
              <wp:posOffset>3932555</wp:posOffset>
            </wp:positionV>
            <wp:extent cx="5733415" cy="3757295"/>
            <wp:effectExtent l="0" t="0" r="635" b="0"/>
            <wp:wrapSquare wrapText="bothSides"/>
            <wp:docPr id="19735419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1902" name="Imagen 1" descr="Gráfico, Gráfico de barras&#10;&#10;Descripción generada automáticamente"/>
                    <pic:cNvPicPr/>
                  </pic:nvPicPr>
                  <pic:blipFill>
                    <a:blip r:embed="rId9"/>
                    <a:stretch>
                      <a:fillRect/>
                    </a:stretch>
                  </pic:blipFill>
                  <pic:spPr>
                    <a:xfrm>
                      <a:off x="0" y="0"/>
                      <a:ext cx="5733415" cy="3757295"/>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4811F523"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2B629D66" w14:textId="77777777" w:rsidR="00AD130E" w:rsidRDefault="00AD130E"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87552" w14:textId="77777777" w:rsidR="001C29BE" w:rsidRDefault="001C29BE" w:rsidP="004A6730">
      <w:pPr>
        <w:spacing w:line="240" w:lineRule="auto"/>
      </w:pPr>
      <w:r>
        <w:separator/>
      </w:r>
    </w:p>
  </w:endnote>
  <w:endnote w:type="continuationSeparator" w:id="0">
    <w:p w14:paraId="2F25672E" w14:textId="77777777" w:rsidR="001C29BE" w:rsidRDefault="001C29BE"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0E00" w14:textId="77777777" w:rsidR="001C29BE" w:rsidRDefault="001C29BE" w:rsidP="004A6730">
      <w:pPr>
        <w:spacing w:line="240" w:lineRule="auto"/>
      </w:pPr>
      <w:r>
        <w:separator/>
      </w:r>
    </w:p>
  </w:footnote>
  <w:footnote w:type="continuationSeparator" w:id="0">
    <w:p w14:paraId="643EB865" w14:textId="77777777" w:rsidR="001C29BE" w:rsidRDefault="001C29BE"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C29BE"/>
    <w:rsid w:val="001D3CDD"/>
    <w:rsid w:val="001D6FBB"/>
    <w:rsid w:val="001E251E"/>
    <w:rsid w:val="001F3B32"/>
    <w:rsid w:val="0020006D"/>
    <w:rsid w:val="00204083"/>
    <w:rsid w:val="00230874"/>
    <w:rsid w:val="00232923"/>
    <w:rsid w:val="00247308"/>
    <w:rsid w:val="00260CDA"/>
    <w:rsid w:val="002636E0"/>
    <w:rsid w:val="002646E9"/>
    <w:rsid w:val="002675BC"/>
    <w:rsid w:val="002744F1"/>
    <w:rsid w:val="0029416A"/>
    <w:rsid w:val="002B0CC8"/>
    <w:rsid w:val="002B4A60"/>
    <w:rsid w:val="002B4CA4"/>
    <w:rsid w:val="002C711B"/>
    <w:rsid w:val="002D3AE0"/>
    <w:rsid w:val="002F033E"/>
    <w:rsid w:val="00301524"/>
    <w:rsid w:val="003048C7"/>
    <w:rsid w:val="00305156"/>
    <w:rsid w:val="00311F4B"/>
    <w:rsid w:val="0031527E"/>
    <w:rsid w:val="0031686F"/>
    <w:rsid w:val="00343FD3"/>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10B8"/>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B56F3"/>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2D16"/>
    <w:rsid w:val="00804195"/>
    <w:rsid w:val="008047F3"/>
    <w:rsid w:val="00806B95"/>
    <w:rsid w:val="00816B11"/>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30E"/>
    <w:rsid w:val="00AD1B80"/>
    <w:rsid w:val="00AE33A6"/>
    <w:rsid w:val="00B01E93"/>
    <w:rsid w:val="00B041C5"/>
    <w:rsid w:val="00B11F89"/>
    <w:rsid w:val="00B319AB"/>
    <w:rsid w:val="00B4571E"/>
    <w:rsid w:val="00B47DD2"/>
    <w:rsid w:val="00B540C3"/>
    <w:rsid w:val="00B64B62"/>
    <w:rsid w:val="00B70500"/>
    <w:rsid w:val="00B75EBD"/>
    <w:rsid w:val="00BA3CF2"/>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C6772"/>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17</Pages>
  <Words>8248</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68</cp:revision>
  <cp:lastPrinted>2024-12-08T21:46:00Z</cp:lastPrinted>
  <dcterms:created xsi:type="dcterms:W3CDTF">2024-10-18T17:15:00Z</dcterms:created>
  <dcterms:modified xsi:type="dcterms:W3CDTF">2025-01-24T01:59:00Z</dcterms:modified>
</cp:coreProperties>
</file>