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1)Si para elaborar dichas páginas no se había pedido consentimiento, ni se había comunicado a la Dirección Nacional de Protección de Datos Personales, entonces se cometió delito.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Nuestra Constitución, en el artículo 43 (tercer párrafo), y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Ley de Protección de los Datos Personales</w:t>
        </w:r>
      </w:hyperlink>
      <w:r w:rsidDel="00000000" w:rsidR="00000000" w:rsidRPr="00000000">
        <w:rPr>
          <w:rtl w:val="0"/>
        </w:rPr>
        <w:t xml:space="preserve"> reconocen y garantizan sus derechos como titulares de sus datos personales.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Haría una denuncia de los incumplimientos de la Ley de Protección de Datos Personales, porque publicaron datos personales sin mi consentimiento.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Los responsables son: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dueño de la veterinaria es responsable de las bases de datos personales deben garantizar la seguridad y confidencialidad de los datos personales, para ello deben adoptarse determinadas medidas técnicas y organizativas.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programador debería contar con la autorización para publicar todos los datos que se le entregan, ya que de acuerdo a la normativa vigente “los responsables de bases de datos personales públicas y privadas destinadas a dar informes, deberán inscribirlas en el Registro Nacional de Bases de Datos”.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Retrospectiva del Sprint: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A pesar de las diferencias de horarios cada parte intentó cumplir con sus objetivos.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compromiso y la dinámica de grupo va mejorando con el tiempo. Quedamos pocos activos pero nos repartimos más tareas con el fin de cumplir con los Sprints.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rvicios.infoleg.gob.ar/infolegInternet/anexos/60000-64999/64790/texa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