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ISO 19650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E8B8B"/>
          <w:sz w:val="36"/>
          <w:szCs w:val="36"/>
        </w:rPr>
        <w:t xml:space="preserve">BEP READINESS CHECKLIST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2.0</w:t>
      </w:r>
    </w:p>
    <w:p>
      <w:pPr>
        <w:pBdr>
          <w:bottom w:val="single" w:color="2E8B8B" w:sz="8" w:space="6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quick checklist before submitting your BEP response. Tick each item only when objective evidence is available.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is practical guidance and does not replace contractual or legal review.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Project: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Date: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486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Pre-appointment BEP (tender stage response)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Delivery team BEP (post-appointment confirmation)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EIR RESPONSE COMPLETENESS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Every EIR requirement is mapped to a specific BEP section.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Any "not applicable" requirement is explicitly justified.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Information purposes and delivery milestones are clearly addressed.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Naming, metadata, and exchange format requirements are reflected.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INFORMATION DELIVERY STRATEGY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Approach to meeting EIR is explained and realistic.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Information collaboration objectives are stated.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Delivery team structure and information management roles are defined.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Federation strategy is documented and actionable.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 AND PLANNING CONTROLS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High-level responsibility matrix is included and complete.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Detailed responsibility matrix is available (where required).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MIDP is present and aligned with project delivery milestones.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TIDPs are present/defined for relevant task teams.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CDE, WORKFLOWS, AND TECHNICAL SETUP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CDE workflow states are defined (WIP, Shared, Published, Archived).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Permissions, approval gates, and status/revision rules are clear.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Platform/system schedule and tooling assumptions are confirmed.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Information exchange frequency and review turnaround are defined.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QUALITY, ACCEPTANCE, AND AUDIT TRAIL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Quality checks before issue are defined by deliverable type.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Acceptance criteria are objective and testable.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Authorisation/acceptance process is explicit (who approves what and when).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Audit trail is demonstrable (versioning, approvals, records, logs).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CAPABILITY, MOBILISATION, AND RISK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Capability/capacity evidence is available for key roles.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Mobilisation plan covers training, system access, and readiness checks.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Information delivery risks are identified with owners/mitigations.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Critical assumptions and dependencies are visible and controlled.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SECURITY, CONTRACT, AND HANDOVER ALIGNMENT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Information security/privacy requirements are addressed.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BEP commitments align with appointment/contract obligations.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PIM/AIM deliverables and handover expectations are clear.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Deliverables align with scope, programme, and commercial milestones.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ISO-CRITICAL ADD-ON (HIGH CONFIDENCE CHECKS)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Pre-appointment vs delivery BEP requirements are not mixed or missing.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Required supplementary documents are included with submission.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Planned information deliverables can be traced from EIR to MIDP/TIDP.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Team can evidence compliance approach in a bid/clarification workshop.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B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FINAL GO / NO-GO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 can evidence every critical claim in this BEP.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 can execute this plan with current people, systems, and timelines.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color w:val="1B2A4A"/>
                <w:sz w:val="22"/>
                <w:szCs w:val="22"/>
              </w:rPr>
              <w:t xml:space="preserve">☐</w:t>
            </w:r>
          </w:p>
        </w:tc>
        <w:tc>
          <w:tcPr>
            <w:tcW w:type="dxa" w:w="848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 are comfortable submitting without material clarifications.</w:t>
            </w:r>
          </w:p>
        </w:tc>
      </w:tr>
    </w:tbl>
    <w:p>
      <w:pPr>
        <w:spacing w:before="3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QUICK SCORING</w:t>
      </w:r>
    </w:p>
    <w:p>
      <w:p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 completed items (excluding context line):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30 - 36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20"/>
                <w:szCs w:val="20"/>
              </w:rPr>
              <w:t xml:space="preserve">High readiness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22 - 29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56404"/>
                <w:sz w:val="20"/>
                <w:szCs w:val="20"/>
              </w:rPr>
              <w:t xml:space="preserve">Medium readiness (close gaps before submission)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&lt; 22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721C24"/>
                <w:sz w:val="20"/>
                <w:szCs w:val="20"/>
              </w:rPr>
              <w:t xml:space="preserve">Low readiness (significant delivery risk)</w:t>
            </w:r>
          </w:p>
        </w:tc>
      </w:tr>
    </w:tbl>
    <w:p>
      <w:pPr>
        <w:spacing w:before="300"/>
      </w:pPr>
    </w:p>
    <w:p>
      <w:pPr>
        <w:pBdr>
          <w:top w:val="single" w:color="2E8B8B" w:sz="4" w:space="6"/>
        </w:pBdr>
        <w:spacing w:after="60" w:before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Need help closing the last 10% before submission?</w:t>
      </w:r>
    </w:p>
    <w:p>
      <w:pPr>
        <w:spacing w:after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Book a 30-min call: </w:t>
      </w:r>
      <w:hyperlink w:history="1" r:id="rIdbhd99pi4xpxdxhp5c1gs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noeinsolutions.com/contact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2E8B8B"/>
        <w:sz w:val="14"/>
        <w:szCs w:val="14"/>
      </w:rPr>
      <w:t xml:space="preserve">noeinsolutions.com</w:t>
    </w:r>
    <w:r>
      <w:rPr>
        <w:rFonts w:ascii="Arial" w:cs="Arial" w:eastAsia="Arial" w:hAnsi="Arial"/>
        <w:color w:val="555555"/>
        <w:sz w:val="14"/>
        <w:szCs w:val="14"/>
      </w:rPr>
      <w:t xml:space="preserve">	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4"/>
        <w:szCs w:val="14"/>
      </w:rPr>
      <w:t xml:space="preserve"> of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8B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b/>
        <w:bCs/>
        <w:color w:val="2E8B8B"/>
        <w:spacing w:val="120"/>
        <w:sz w:val="16"/>
        <w:szCs w:val="16"/>
      </w:rPr>
      <w:t xml:space="preserve">NOEIN SOLUTIONS</w:t>
    </w:r>
    <w:r>
      <w:rPr>
        <w:rFonts w:ascii="Arial" w:cs="Arial" w:eastAsia="Arial" w:hAnsi="Arial"/>
        <w:color w:val="555555"/>
        <w:sz w:val="16"/>
        <w:szCs w:val="16"/>
      </w:rPr>
      <w:t xml:space="preserve">	ISO 19650 BEP Readiness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8B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bhd99pi4xpxdxhp5c1gsi" Type="http://schemas.openxmlformats.org/officeDocument/2006/relationships/hyperlink" Target="https://noeinsolutions.com/contact.htm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2026-04-15T16:42:27.127Z</dcterms:created>
  <dcterms:modified xsi:type="dcterms:W3CDTF">2026-04-15T16:42:27.128Z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