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ISO 19650</w:t>
      </w:r>
    </w:p>
    <w:p>
      <w:pPr>
        <w:spacing w:after="80"/>
      </w:pPr>
      <w:r>
        <w:rPr>
          <w:rFonts w:ascii="Arial" w:cs="Arial" w:eastAsia="Arial" w:hAnsi="Arial"/>
          <w:color w:val="2E8B8B"/>
          <w:sz w:val="40"/>
          <w:szCs w:val="40"/>
        </w:rPr>
        <w:t xml:space="preserve">BEP Readiness Checklist</w:t>
      </w:r>
    </w:p>
    <w:p>
      <w:pPr>
        <w:pBdr>
          <w:bottom w:val="single" w:color="2E8B8B" w:sz="8" w:space="6"/>
        </w:pBdr>
        <w:spacing w:after="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</w:t>
      </w:r>
    </w:p>
    <w:p>
      <w:p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this checklist before submitting your BEP response. Tick each item only when objective evidence is available.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is practical guidance and does not replace contractual or legal review.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9026"/>
            <w:gridSpan w:val="2"/>
            <w:tcBorders>
              <w:top w:val="single" w:color="1B2A4A" w:sz="2"/>
              <w:left w:val="single" w:color="1B2A4A" w:sz="2"/>
              <w:bottom w:val="single" w:color="1B2A4A" w:sz="1"/>
              <w:right w:val="single" w:color="1B2A4A" w:sz="2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</w:t>
            </w:r>
            <w:r>
              <w:rPr>
                <w:rFonts w:ascii="Arial" w:cs="Arial" w:eastAsia="Arial" w:hAnsi="Arial"/>
                <w:i/>
                <w:iCs/>
                <w:color w:val="A0B8D0"/>
                <w:sz w:val="18"/>
                <w:szCs w:val="18"/>
              </w:rPr>
              <w:t xml:space="preserve">  (select one)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B8B"/>
                <w:sz w:val="24"/>
                <w:szCs w:val="24"/>
              </w:rPr>
              <w:t xml:space="preserve">○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Pre-appointment BEP (tender stage response)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B8B"/>
                <w:sz w:val="24"/>
                <w:szCs w:val="24"/>
              </w:rPr>
              <w:t xml:space="preserve">○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Delivery team BEP (post-appointment confirmation)</w:t>
            </w:r>
          </w:p>
        </w:tc>
      </w:tr>
      <w:tr>
        <w:tc>
          <w:tcPr>
            <w:tcW w:type="dxa" w:w="9026"/>
            <w:gridSpan w:val="2"/>
            <w:tcBorders>
              <w:top w:val="single" w:color="2E8B8B" w:sz="2"/>
              <w:left w:val="single" w:color="2E8B8B" w:sz="2"/>
              <w:bottom w:val="single" w:color="2E8B8B" w:sz="1"/>
              <w:right w:val="single" w:color="2E8B8B" w:sz="2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EIR RESPONSE COMPLETENESS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EIR requirement is mapped to a specific BEP section.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"not applicable" requirement is explicitly justified.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purposes and delivery milestones are clearly addressed.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Naming, metadata, and exchange format requirements are reflected.</w:t>
            </w:r>
          </w:p>
        </w:tc>
      </w:tr>
      <w:tr>
        <w:tc>
          <w:tcPr>
            <w:tcW w:type="dxa" w:w="9026"/>
            <w:gridSpan w:val="2"/>
            <w:tcBorders>
              <w:top w:val="single" w:color="2E8B8B" w:sz="2"/>
              <w:left w:val="single" w:color="2E8B8B" w:sz="2"/>
              <w:bottom w:val="single" w:color="2E8B8B" w:sz="1"/>
              <w:right w:val="single" w:color="2E8B8B" w:sz="2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 DELIVERY STRATEGY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Approach to meeting EIR is explained and realistic.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collaboration objectives are stated.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Delivery team structure and information management roles are defined.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Federation strategy is documented and actionable.</w:t>
            </w:r>
          </w:p>
        </w:tc>
      </w:tr>
      <w:tr>
        <w:tc>
          <w:tcPr>
            <w:tcW w:type="dxa" w:w="9026"/>
            <w:gridSpan w:val="2"/>
            <w:tcBorders>
              <w:top w:val="single" w:color="2E8B8B" w:sz="2"/>
              <w:left w:val="single" w:color="2E8B8B" w:sz="2"/>
              <w:bottom w:val="single" w:color="2E8B8B" w:sz="1"/>
              <w:right w:val="single" w:color="2E8B8B" w:sz="2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AND PLANNING CONTROLS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High-level responsibility matrix is included and complete.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Detailed responsibility matrix is available (where required).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MIDP is present and aligned with project delivery milestones.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TIDPs are present/defined for relevant task teams.</w:t>
            </w:r>
          </w:p>
        </w:tc>
      </w:tr>
      <w:tr>
        <w:tc>
          <w:tcPr>
            <w:tcW w:type="dxa" w:w="9026"/>
            <w:gridSpan w:val="2"/>
            <w:tcBorders>
              <w:top w:val="single" w:color="2E8B8B" w:sz="2"/>
              <w:left w:val="single" w:color="2E8B8B" w:sz="2"/>
              <w:bottom w:val="single" w:color="2E8B8B" w:sz="1"/>
              <w:right w:val="single" w:color="2E8B8B" w:sz="2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CDE, WORKFLOWS, AND TECHNICAL SETUP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CDE workflow states are defined (WIP, Shared, Published, Archived).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Permissions, approval gates, and status/revision rules are clear.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Platform/system schedule and tooling assumptions are confirmed.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exchange frequency and review turnaround are defined.</w:t>
            </w:r>
          </w:p>
        </w:tc>
      </w:tr>
      <w:tr>
        <w:tc>
          <w:tcPr>
            <w:tcW w:type="dxa" w:w="9026"/>
            <w:gridSpan w:val="2"/>
            <w:tcBorders>
              <w:top w:val="single" w:color="2E8B8B" w:sz="2"/>
              <w:left w:val="single" w:color="2E8B8B" w:sz="2"/>
              <w:bottom w:val="single" w:color="2E8B8B" w:sz="1"/>
              <w:right w:val="single" w:color="2E8B8B" w:sz="2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QUALITY, ACCEPTANCE, AND AUDIT TRAIL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Quality checks before issue are defined by deliverable type.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Acceptance criteria are objective and testable.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Authorisation/acceptance process is explicit (who approves what and when).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trail is demonstrable (versioning, approvals, records, logs).</w:t>
            </w:r>
          </w:p>
        </w:tc>
      </w:tr>
      <w:tr>
        <w:tc>
          <w:tcPr>
            <w:tcW w:type="dxa" w:w="9026"/>
            <w:gridSpan w:val="2"/>
            <w:tcBorders>
              <w:top w:val="single" w:color="2E8B8B" w:sz="2"/>
              <w:left w:val="single" w:color="2E8B8B" w:sz="2"/>
              <w:bottom w:val="single" w:color="2E8B8B" w:sz="1"/>
              <w:right w:val="single" w:color="2E8B8B" w:sz="2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CAPABILITY, MOBILISATION, AND RISK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Capability/capacity evidence is available for key roles.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Mobilisation plan covers training, system access, and readiness checks.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delivery risks are identified with owners/mitigations.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 assumptions and dependencies are visible and controlled.</w:t>
            </w:r>
          </w:p>
        </w:tc>
      </w:tr>
      <w:tr>
        <w:tc>
          <w:tcPr>
            <w:tcW w:type="dxa" w:w="9026"/>
            <w:gridSpan w:val="2"/>
            <w:tcBorders>
              <w:top w:val="single" w:color="2E8B8B" w:sz="2"/>
              <w:left w:val="single" w:color="2E8B8B" w:sz="2"/>
              <w:bottom w:val="single" w:color="2E8B8B" w:sz="1"/>
              <w:right w:val="single" w:color="2E8B8B" w:sz="2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SECURITY, CONTRACT, AND HANDOVER ALIGNMENT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security/privacy requirements are addressed.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BEP commitments align with appointment/contract obligations.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PIM/AIM deliverables and handover expectations are clear.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Deliverables align with scope, programme, and commercial milestones.</w:t>
            </w:r>
          </w:p>
        </w:tc>
      </w:tr>
      <w:tr>
        <w:tc>
          <w:tcPr>
            <w:tcW w:type="dxa" w:w="9026"/>
            <w:gridSpan w:val="2"/>
            <w:tcBorders>
              <w:top w:val="single" w:color="2E8B8B" w:sz="2"/>
              <w:left w:val="single" w:color="2E8B8B" w:sz="2"/>
              <w:bottom w:val="single" w:color="2E8B8B" w:sz="1"/>
              <w:right w:val="single" w:color="2E8B8B" w:sz="2"/>
            </w:tcBorders>
            <w:shd w:fill="2E8B8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ISO-CRITICAL ADD-ON (HIGH CONFIDENCE CHECKS)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Pre-appointment vs delivery BEP requirements are not mixed or missing.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Required supplementary documents are included with submission.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Planned information deliverables can be traced from EIR to MIDP/TIDP.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can evidence compliance approach in a bid/clarification workshop.</w:t>
            </w:r>
          </w:p>
        </w:tc>
      </w:tr>
      <w:tr>
        <w:tc>
          <w:tcPr>
            <w:tcW w:type="dxa" w:w="9026"/>
            <w:gridSpan w:val="2"/>
            <w:tcBorders>
              <w:top w:val="single" w:color="2E8B8B" w:sz="2"/>
              <w:left w:val="single" w:color="2E8B8B" w:sz="2"/>
              <w:bottom w:val="single" w:color="2E8B8B" w:sz="1"/>
              <w:right w:val="single" w:color="2E8B8B" w:sz="2"/>
            </w:tcBorders>
            <w:shd w:fill="2E8B8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GO / NO-GO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 can evidence every critical claim in this BEP.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 can execute this plan with current people, systems, and timelines.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 are comfortable submitting without material clarifications.</w:t>
            </w:r>
          </w:p>
        </w:tc>
      </w:tr>
    </w:tbl>
    <w:p>
      <w:pPr>
        <w:spacing w:after="10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1B2A4A" w:sz="2"/>
              <w:left w:val="single" w:color="1B2A4A" w:sz="2"/>
              <w:bottom w:val="single" w:color="DDDDDD" w:sz="1"/>
              <w:right w:val="single" w:color="1B2A4A" w:sz="2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SCORING (OPTIONAL)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30 - 35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readiness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22 - 29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 readiness (close gaps before submission)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&lt; 22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readiness (significant delivery risk)</w:t>
            </w:r>
          </w:p>
        </w:tc>
      </w:tr>
    </w:tbl>
    <w:p>
      <w:pPr>
        <w:spacing w:after="0" w:before="200"/>
      </w:pPr>
    </w:p>
    <w:p>
      <w:pPr>
        <w:spacing w:after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Completed items (excluding context): _______ / 35</w:t>
      </w:r>
    </w:p>
    <w:p>
      <w:pPr>
        <w:pBdr>
          <w:top w:val="single" w:color="2E8B8B" w:sz="4" w:space="6"/>
          <w:bottom w:val="single" w:color="2E8B8B" w:sz="4" w:space="6"/>
        </w:pBdr>
        <w:spacing w:after="60" w:before="10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Need help closing the last 10% before submission?</w:t>
      </w:r>
    </w:p>
    <w:p>
      <w:pPr>
        <w:spacing w:after="100"/>
        <w:jc w:val="center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Book a 30-minute call:  </w:t>
      </w:r>
      <w:hyperlink w:history="1" r:id="rIdutrmnsqnitxvprp8d7os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noeinsolutions.com/contact</w:t>
        </w:r>
      </w:hyperlink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2E8B8B"/>
        <w:sz w:val="14"/>
        <w:szCs w:val="14"/>
      </w:rPr>
      <w:t xml:space="preserve">noeinsolutions.com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8B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2A4A"/>
        <w:spacing w:val="80"/>
        <w:sz w:val="16"/>
        <w:szCs w:val="16"/>
      </w:rPr>
      <w:t xml:space="preserve">NOEIN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B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trmnsqnitxvprp8d7osp" Type="http://schemas.openxmlformats.org/officeDocument/2006/relationships/hyperlink" Target="https://noeinsolutions.com/contact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2026-04-15T16:35:38.849Z</dcterms:created>
  <dcterms:modified xsi:type="dcterms:W3CDTF">2026-04-15T16:35:38.850Z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