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000000"/>
          <w:sz w:val="42"/>
        </w:rPr>
        <w:t>研报 PDF 解析与知识库开源方案调研报告</w:t>
      </w:r>
    </w:p>
    <w:p>
      <w:pPr>
        <w:pStyle w:val="BodyTextCN"/>
        <w:spacing w:after="280"/>
      </w:pPr>
      <w:r>
        <w:rPr>
          <w:rFonts w:ascii="微软雅黑" w:hAnsi="微软雅黑" w:eastAsia="微软雅黑"/>
          <w:color w:val="444444"/>
          <w:sz w:val="23"/>
        </w:rPr>
        <w:t>面向上市公司研究报告自动核查工具的解析模块选型，兼评 OpenViking 方案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这份调研由负责 PDF 解析模块的同学整理，用于回答两个问题：指导老师提出的 OpenViking 能否把文件解析和知识库一起解决；以及有哪些开源项目可以借鉴，支撑文本与表格提取、页码与坐标保留、解析失败识别这三项硬需求。结论写在最前面，后面依次给出 OpenViking 的能力边界、同类开源项目的对比、建议的模块架构，以及解析失败的判定方法。文中所有项目的星标数、许可证和功能描述均以 2026 年 9 月 24 日的仓库实际情况为准。</w:t>
      </w:r>
    </w:p>
    <w:p>
      <w:pPr>
        <w:pStyle w:val="Heading1"/>
      </w:pPr>
      <w:r>
        <w:t>一、结论摘要</w:t>
      </w:r>
    </w:p>
    <w:p>
      <w:pPr>
        <w:pStyle w:val="BodyTextCN"/>
      </w:pPr>
      <w:r>
        <w:rPr>
          <w:rFonts w:ascii="宋体" w:hAnsi="宋体" w:eastAsia="宋体"/>
          <w:b/>
          <w:color w:val="1A1A1A"/>
          <w:sz w:val="21"/>
        </w:rPr>
        <w:t>OpenViking 的定位决定了它只能承担一半。</w:t>
      </w:r>
      <w:r>
        <w:rPr>
          <w:rFonts w:ascii="宋体" w:hAnsi="宋体" w:eastAsia="宋体"/>
          <w:color w:val="1A1A1A"/>
          <w:sz w:val="21"/>
        </w:rPr>
        <w:t>OpenViking 值得参考，但它解决的是知识库与检索这一半，不能替代高精度的版面解析。它把 PDF 转成 Markdown 之后再做目录化与向量化，页码只以 HTML 注释的形式留在中间稿里，块级坐标完全不留存，而研报核查最看重的恰恰是“这句结论来自第几页的哪个位置”。如果用它同时承担解析，证据回溯能力会直接缺失。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解析层：</w:t>
      </w:r>
      <w:r>
        <w:rPr>
          <w:rFonts w:ascii="宋体" w:hAnsi="宋体" w:eastAsia="宋体"/>
          <w:color w:val="1A1A1A"/>
          <w:sz w:val="21"/>
        </w:rPr>
        <w:t>建议用专门的版面解析引擎做主干，首选 MinerU 或 Docling，两者都能输出带页码和边界框（bbox）的结构化结果。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知识库层：</w:t>
      </w:r>
      <w:r>
        <w:rPr>
          <w:rFonts w:ascii="宋体" w:hAnsi="宋体" w:eastAsia="宋体"/>
          <w:color w:val="1A1A1A"/>
          <w:sz w:val="21"/>
        </w:rPr>
        <w:t>OpenViking 或 RAGFlow 都可以承担检索与多文档横向对比，两者与解析层用一份统一的页级、块级 JSON 契约解耦。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失败识别：</w:t>
      </w:r>
      <w:r>
        <w:rPr>
          <w:rFonts w:ascii="宋体" w:hAnsi="宋体" w:eastAsia="宋体"/>
          <w:color w:val="1A1A1A"/>
          <w:sz w:val="21"/>
        </w:rPr>
        <w:t>用“规则质量分 + 双引擎交叉校验 + VLM 抽检”三层机制，并在数据契约里把 page 与 bbox 设为必填字段，缺失即判定失败。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许可证：</w:t>
      </w:r>
      <w:r>
        <w:rPr>
          <w:rFonts w:ascii="宋体" w:hAnsi="宋体" w:eastAsia="宋体"/>
          <w:color w:val="1A1A1A"/>
          <w:sz w:val="21"/>
        </w:rPr>
        <w:t>OpenViking 为 AGPL-3.0，如后续产品化需评估开源义务；MinerU 为 Apache-2.0 附加商业与署名条款；Docling 为 MIT，最宽松。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这套分工的好处是团队可以并行推进：解析同学先把“可回溯的中间表示”做扎实，知识库同学在同一份 JSON 之上做检索与横向比对，任何一方换实现都不影响对方。</w:t>
      </w:r>
    </w:p>
    <w:p>
      <w:pPr>
        <w:pStyle w:val="Heading1"/>
      </w:pPr>
      <w:r>
        <w:t>二、OpenViking 是什么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OpenViking 是字节跳动火山引擎团队开源的、面向 AI Agent 的上下文数据库。它的官方描述是“Self-evolving Context Database for AI Agents”，目标是把知识库检索、Agent 记忆和技能统一到一套文件系统里。项目 2026 年 1 月创建，到 9 月 24 日已有约 3.86 万星标、3000 余个分支，当天仍有代码提交，属于热度很高的活跃项目。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6917"/>
      </w:tblGrid>
      <w:tr>
        <w:trPr>
          <w:tblHeader w:val="true"/>
        </w:trPr>
        <w:tc>
          <w:tcPr>
            <w:tcW w:type="dxa" w:w="192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项目属性</w:t>
            </w:r>
          </w:p>
        </w:tc>
        <w:tc>
          <w:tcPr>
            <w:tcW w:type="dxa" w:w="6917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实际情况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仓库</w:t>
            </w:r>
          </w:p>
        </w:tc>
        <w:tc>
          <w:tcPr>
            <w:tcW w:type="dxa" w:w="69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volcengine/OpenViking（GitHub）</w:t>
            </w:r>
          </w:p>
        </w:tc>
      </w:tr>
      <w:tr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定位</w:t>
            </w:r>
          </w:p>
        </w:tc>
        <w:tc>
          <w:tcPr>
            <w:tcW w:type="dxa" w:w="69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面向 Agent 的上下文数据库，统一知识 RAG、Agent 记忆与技能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创建时间</w:t>
            </w:r>
          </w:p>
        </w:tc>
        <w:tc>
          <w:tcPr>
            <w:tcW w:type="dxa" w:w="69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2026 年 1 月 5 日，2026 年 9 月 24 日仍有提交</w:t>
            </w:r>
          </w:p>
        </w:tc>
      </w:tr>
      <w:tr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社区规模</w:t>
            </w:r>
          </w:p>
        </w:tc>
        <w:tc>
          <w:tcPr>
            <w:tcW w:type="dxa" w:w="69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约 3.86 万星标，3000 余个分支，680 余个开放议题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许可证</w:t>
            </w:r>
          </w:p>
        </w:tc>
        <w:tc>
          <w:tcPr>
            <w:tcW w:type="dxa" w:w="69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AGPL-3.0</w:t>
            </w:r>
          </w:p>
        </w:tc>
      </w:tr>
      <w:tr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技术栈</w:t>
            </w:r>
          </w:p>
        </w:tc>
        <w:tc>
          <w:tcPr>
            <w:tcW w:type="dxa" w:w="69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Python，提供 CLI、Python SDK、REST API、MCP 与主流编码 Agent 集成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形态</w:t>
            </w:r>
          </w:p>
        </w:tc>
        <w:tc>
          <w:tcPr>
            <w:tcW w:type="dxa" w:w="69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开源版自托管加 Studio 演示；另有火山引擎云服务与企业自托管商业版</w:t>
            </w:r>
          </w:p>
        </w:tc>
      </w:tr>
    </w:tbl>
    <w:p>
      <w:pPr>
        <w:pStyle w:val="Heading2"/>
      </w:pPr>
      <w:r>
        <w:t>2.1 它的核心抽象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虚拟文件系统：</w:t>
      </w:r>
      <w:r>
        <w:rPr>
          <w:rFonts w:ascii="宋体" w:hAnsi="宋体" w:eastAsia="宋体"/>
          <w:color w:val="1A1A1A"/>
          <w:sz w:val="21"/>
        </w:rPr>
        <w:t>所有上下文以 viking:// 协议组织成目录树，可以用 ls、tree、read、grep 这类文件操作浏览，资源、记忆、技能各占一类目录。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三层上下文：</w:t>
      </w:r>
      <w:r>
        <w:rPr>
          <w:rFonts w:ascii="宋体" w:hAnsi="宋体" w:eastAsia="宋体"/>
          <w:color w:val="1A1A1A"/>
          <w:sz w:val="21"/>
        </w:rPr>
        <w:t>L0 一句话摘要、L1 目录概览、L2 原始正文，Agent 先读摘要判断相关性，再决定是否展开全文，用来压低检索的 token 消耗。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目录级检索：</w:t>
      </w:r>
      <w:r>
        <w:rPr>
          <w:rFonts w:ascii="宋体" w:hAnsi="宋体" w:eastAsia="宋体"/>
          <w:color w:val="1A1A1A"/>
          <w:sz w:val="21"/>
        </w:rPr>
        <w:t>语义检索可以限定在某个项目或知识子树上执行，而不是在一整片扁平向量池里盲搜。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上下文编译：</w:t>
      </w:r>
      <w:r>
        <w:rPr>
          <w:rFonts w:ascii="宋体" w:hAnsi="宋体" w:eastAsia="宋体"/>
          <w:color w:val="1A1A1A"/>
          <w:sz w:val="21"/>
        </w:rPr>
        <w:t>可以把素材组织成 wiki、知识图谱或报告，这是它宣传里最接近“多文件横向对比”的能力。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学术支撑：</w:t>
      </w:r>
      <w:r>
        <w:rPr>
          <w:rFonts w:ascii="宋体" w:hAnsi="宋体" w:eastAsia="宋体"/>
          <w:color w:val="1A1A1A"/>
          <w:sz w:val="21"/>
        </w:rPr>
        <w:t>配套论文覆盖记忆管理（VLDB 2026）、目录感知检索（ICDE）与结构化文档的检索增强生成。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从产品成熟度看，OpenViking 的工程完成度不低：有独立的文档站、Studio 演示站、Railway 一键部署、以及 Claude Code、Codex、Cursor、Trae 等 Agent 的接入插件。单作为知识库选型，它是当下最有竞争力的选项之一。</w:t>
      </w:r>
    </w:p>
    <w:p>
      <w:pPr>
        <w:pStyle w:val="Heading1"/>
      </w:pPr>
      <w:r>
        <w:t>三、用 OpenViking 做 PDF 解析的实际能力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这一节的结论来自直接读它的源码与官方文档，而不是只看宣传页。它的 PDF 处理实现位于仓库的 openviking/parse/parsers/pdf.py，整体路线是先把 PDF 转成 Markdown，再交给 MarkdownParser 建目录树。</w:t>
      </w:r>
    </w:p>
    <w:p>
      <w:pPr>
        <w:pStyle w:val="Heading2"/>
      </w:pPr>
      <w:r>
        <w:t>3.1 转换策略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7"/>
        <w:gridCol w:w="3742"/>
        <w:gridCol w:w="3855"/>
      </w:tblGrid>
      <w:tr>
        <w:trPr>
          <w:tblHeader w:val="true"/>
        </w:trPr>
        <w:tc>
          <w:tcPr>
            <w:tcW w:type="dxa" w:w="1247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3742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实现方式</w:t>
            </w:r>
          </w:p>
        </w:tc>
        <w:tc>
          <w:tcPr>
            <w:tcW w:type="dxa" w:w="3855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local</w:t>
            </w:r>
          </w:p>
        </w:tc>
        <w:tc>
          <w:tcPr>
            <w:tcW w:type="dxa" w:w="374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本地 pdfplumber 抽取文本与表格</w:t>
            </w:r>
          </w:p>
        </w:tc>
        <w:tc>
          <w:tcPr>
            <w:tcW w:type="dxa" w:w="38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纯本地、无额外依赖，适合带文本层的电子版研报</w:t>
            </w:r>
          </w:p>
        </w:tc>
      </w:tr>
      <w:tr>
        <w:tc>
          <w:tcPr>
            <w:tcW w:type="dxa" w:w="124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mineru</w:t>
            </w:r>
          </w:p>
        </w:tc>
        <w:tc>
          <w:tcPr>
            <w:tcW w:type="dxa" w:w="374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调用远端 MinerU /file_parse 接口</w:t>
            </w:r>
          </w:p>
        </w:tc>
        <w:tc>
          <w:tcPr>
            <w:tcW w:type="dxa" w:w="385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精度更高，但需要自建或调用外部 MinerU 服务</w:t>
            </w:r>
          </w:p>
        </w:tc>
      </w:tr>
      <w:tr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auto</w:t>
            </w:r>
          </w:p>
        </w:tc>
        <w:tc>
          <w:tcPr>
            <w:tcW w:type="dxa" w:w="374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先本地，失败后回落 MinerU</w:t>
            </w:r>
          </w:p>
        </w:tc>
        <w:tc>
          <w:tcPr>
            <w:tcW w:type="dxa" w:w="38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默认策略，依赖是否配置了 MinerU 端点</w:t>
            </w:r>
          </w:p>
        </w:tc>
      </w:tr>
    </w:tbl>
    <w:p>
      <w:pPr>
        <w:pStyle w:val="Heading2"/>
      </w:pPr>
      <w:r>
        <w:t>3.2 页码与坐标的实际处理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页码：</w:t>
      </w:r>
      <w:r>
        <w:rPr>
          <w:rFonts w:ascii="宋体" w:hAnsi="宋体" w:eastAsia="宋体"/>
          <w:color w:val="1A1A1A"/>
          <w:sz w:val="21"/>
        </w:rPr>
        <w:t>仅以 HTML 注释形式写入中间 Markdown，形如 &lt;!-- Page 12 --&gt;，表格则是 &lt;!-- Page 12 Table 1 --&gt;。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表格：</w:t>
      </w:r>
      <w:r>
        <w:rPr>
          <w:rFonts w:ascii="宋体" w:hAnsi="宋体" w:eastAsia="宋体"/>
          <w:color w:val="1A1A1A"/>
          <w:sz w:val="21"/>
        </w:rPr>
        <w:t>用 Markdown 表格语法输出，没有单元格坐标，也没有跨页合并、表头续接等结构信息。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坐标：</w:t>
      </w:r>
      <w:r>
        <w:rPr>
          <w:rFonts w:ascii="宋体" w:hAnsi="宋体" w:eastAsia="宋体"/>
          <w:color w:val="1A1A1A"/>
          <w:sz w:val="21"/>
        </w:rPr>
        <w:t>仅在提取图片时使用过页面 bbox，用于裁剪图片区域，解析结果的正文与表格都不保留边界框。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文档模型：</w:t>
      </w:r>
      <w:r>
        <w:rPr>
          <w:rFonts w:ascii="宋体" w:hAnsi="宋体" w:eastAsia="宋体"/>
          <w:color w:val="1A1A1A"/>
          <w:sz w:val="21"/>
        </w:rPr>
        <w:t>解析结果的数据结构 ResourceNode 只有 root / section 两级节点加 Markdown 正文，没有块级字段，无法承载坐标。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扫描件：</w:t>
      </w:r>
      <w:r>
        <w:rPr>
          <w:rFonts w:ascii="宋体" w:hAnsi="宋体" w:eastAsia="宋体"/>
          <w:color w:val="1A1A1A"/>
          <w:sz w:val="21"/>
        </w:rPr>
        <w:t>走视觉大模型的页面理解，输出摘要、概览、全文和标题四类字段，同样不含坐标。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元数据：</w:t>
      </w:r>
      <w:r>
        <w:rPr>
          <w:rFonts w:ascii="宋体" w:hAnsi="宋体" w:eastAsia="宋体"/>
          <w:color w:val="1A1A1A"/>
          <w:sz w:val="21"/>
        </w:rPr>
        <w:t>只记录总页数、已处理页数、抽取表格数、图片数这类计数，没有任何逐页质量分或置信度。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另外两点需要知道：Office、EPUB 等格式走 AnyDoc 转换器，但源码中对 PDF 明确抛出不支持、要求改用 PDFParser；更高质量的解析需要开启 Understanding API，那是火山引擎的商业服务，不是开源部分。</w:t>
      </w:r>
    </w:p>
    <w:p>
      <w:pPr>
        <w:pStyle w:val="Heading2"/>
      </w:pPr>
      <w:r>
        <w:t>3.3 需求对照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4195"/>
        <w:gridCol w:w="2608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我们的需求</w:t>
            </w:r>
          </w:p>
        </w:tc>
        <w:tc>
          <w:tcPr>
            <w:tcW w:type="dxa" w:w="4195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OpenViking 的现状</w:t>
            </w:r>
          </w:p>
        </w:tc>
        <w:tc>
          <w:tcPr>
            <w:tcW w:type="dxa" w:w="260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提取正文文本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转换 Markdown 后可获得全文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满足</w:t>
            </w:r>
          </w:p>
        </w:tc>
      </w:tr>
      <w:tr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提取表格</w:t>
            </w:r>
          </w:p>
        </w:tc>
        <w:tc>
          <w:tcPr>
            <w:tcW w:type="dxa" w:w="419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转成 Markdown 表格，无结构信息</w:t>
            </w:r>
          </w:p>
        </w:tc>
        <w:tc>
          <w:tcPr>
            <w:tcW w:type="dxa" w:w="260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部分满足，研报核对不够用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保留页码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只在中间稿里留 HTML 注释，结果模型不保留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不满足</w:t>
            </w:r>
          </w:p>
        </w:tc>
      </w:tr>
      <w:tr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保留坐标</w:t>
            </w:r>
          </w:p>
        </w:tc>
        <w:tc>
          <w:tcPr>
            <w:tcW w:type="dxa" w:w="419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正文与表格均无边界框</w:t>
            </w:r>
          </w:p>
        </w:tc>
        <w:tc>
          <w:tcPr>
            <w:tcW w:type="dxa" w:w="260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不满足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识别解析失败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没有逐页质量分或置信度字段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不满足，需自行建设</w:t>
            </w:r>
          </w:p>
        </w:tc>
      </w:tr>
      <w:tr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跨文件检索与横向对比</w:t>
            </w:r>
          </w:p>
        </w:tc>
        <w:tc>
          <w:tcPr>
            <w:tcW w:type="dxa" w:w="419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目录级检索、上下文编译、知识图谱</w:t>
            </w:r>
          </w:p>
        </w:tc>
        <w:tc>
          <w:tcPr>
            <w:tcW w:type="dxa" w:w="260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满足，这是它的强项</w:t>
            </w:r>
          </w:p>
        </w:tc>
      </w:tr>
    </w:tbl>
    <w:p>
      <w:pPr>
        <w:pStyle w:val="BodyTextCN"/>
      </w:pPr>
      <w:r>
        <w:rPr>
          <w:rFonts w:ascii="宋体" w:hAnsi="宋体" w:eastAsia="宋体"/>
          <w:color w:val="1A1A1A"/>
          <w:sz w:val="21"/>
        </w:rPr>
        <w:t>因此对指导老师的建议可以做一点修正：OpenViking 适合放在知识库层，解析层仍然需要专业引擎。两者并不冲突，OpenViking 自己也在 PDF 解析环节外接了 MinerU，这恰好说明它的作者也认为解析应该交给专门的工具。</w:t>
      </w:r>
    </w:p>
    <w:p>
      <w:pPr>
        <w:pStyle w:val="Heading1"/>
      </w:pPr>
      <w:r>
        <w:t>四、可借鉴的开源解析项目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下面的对比只保留与我们的需求直接相关的项目：能输出结构化版面、能保留位置信息、能处理表格。星标数为 2026 年 9 月 24 日的取值。</w:t>
      </w:r>
    </w:p>
    <w:p>
      <w:pPr>
        <w:pStyle w:val="Heading2"/>
      </w:pPr>
      <w:r>
        <w:t>4.1 工程化解析引擎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7"/>
        <w:gridCol w:w="2438"/>
        <w:gridCol w:w="2041"/>
        <w:gridCol w:w="1361"/>
        <w:gridCol w:w="1077"/>
        <w:gridCol w:w="567"/>
      </w:tblGrid>
      <w:tr>
        <w:trPr>
          <w:tblHeader w:val="true"/>
        </w:trPr>
        <w:tc>
          <w:tcPr>
            <w:tcW w:type="dxa" w:w="1417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43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核心能力</w:t>
            </w:r>
          </w:p>
        </w:tc>
        <w:tc>
          <w:tcPr>
            <w:tcW w:type="dxa" w:w="204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页码与坐标</w:t>
            </w:r>
          </w:p>
        </w:tc>
        <w:tc>
          <w:tcPr>
            <w:tcW w:type="dxa" w:w="136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表格能力</w:t>
            </w:r>
          </w:p>
        </w:tc>
        <w:tc>
          <w:tcPr>
            <w:tcW w:type="dxa" w:w="1077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许可证</w:t>
            </w:r>
          </w:p>
        </w:tc>
        <w:tc>
          <w:tcPr>
            <w:tcW w:type="dxa" w:w="567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星标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MinerU 4.0</w:t>
              <w:br/>
              <w:t>（opendatalab）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PDF、Office、图片等转 Markdown 与结构化 JSON，分 Flash/Basic/Standard/Advanced 四档，自带文档库、按页与按块的稳定定位符</w:t>
            </w:r>
          </w:p>
        </w:tc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有。按页分组的内容列表与块级 bbox，可用 doc:xx/page:4/block:7 定位</w:t>
            </w:r>
          </w:p>
        </w:tc>
        <w:tc>
          <w:tcPr>
            <w:tcW w:type="dxa" w:w="13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强，表格识别为独立类型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Apache-2.0</w:t>
              <w:br/>
              <w:t>附加条款</w:t>
            </w:r>
          </w:p>
        </w:tc>
        <w:tc>
          <w:tcPr>
            <w:tcW w:type="dxa" w:w="56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80.6k</w:t>
            </w:r>
          </w:p>
        </w:tc>
      </w:tr>
      <w:tr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Docling</w:t>
              <w:br/>
              <w:t>（IBM）</w:t>
            </w:r>
          </w:p>
        </w:tc>
        <w:tc>
          <w:tcPr>
            <w:tcW w:type="dxa" w:w="243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PDF、DOCX、PPTX、HTML 转统一文档模型 DoclingDocument，含阅读顺序与章节树</w:t>
            </w:r>
          </w:p>
        </w:tc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有。每个元素带 provenance，字段为 page_no、bbox、charspan</w:t>
            </w:r>
          </w:p>
        </w:tc>
        <w:tc>
          <w:tcPr>
            <w:tcW w:type="dxa" w:w="13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强，结构标注可还原单元格</w:t>
            </w:r>
          </w:p>
        </w:tc>
        <w:tc>
          <w:tcPr>
            <w:tcW w:type="dxa" w:w="107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MIT</w:t>
            </w:r>
          </w:p>
        </w:tc>
        <w:tc>
          <w:tcPr>
            <w:tcW w:type="dxa" w:w="56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67.7k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PP-StructureV3</w:t>
              <w:br/>
              <w:t>（PaddleOCR）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版面分析、表格识别、公式识别一体化，同时提供 PaddleOCR-VL 视觉语言模型</w:t>
            </w:r>
          </w:p>
        </w:tc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有，且更细：文本坐标、表格单元格坐标都可输出</w:t>
            </w:r>
          </w:p>
        </w:tc>
        <w:tc>
          <w:tcPr>
            <w:tcW w:type="dxa" w:w="13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强，单元格级结构化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Apache-2.0</w:t>
            </w:r>
          </w:p>
        </w:tc>
        <w:tc>
          <w:tcPr>
            <w:tcW w:type="dxa" w:w="56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90.1k</w:t>
            </w:r>
          </w:p>
        </w:tc>
      </w:tr>
      <w:tr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RAGFlow deepdoc</w:t>
            </w:r>
          </w:p>
        </w:tc>
        <w:tc>
          <w:tcPr>
            <w:tcW w:type="dxa" w:w="243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为检索服务的深度文档解析，带版面检测、表格结构识别、OCR 与切片可视化</w:t>
            </w:r>
          </w:p>
        </w:tc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有。字符级 x0/x1/top/bottom 与页码，切片可回高亮到原文</w:t>
            </w:r>
          </w:p>
        </w:tc>
        <w:tc>
          <w:tcPr>
            <w:tcW w:type="dxa" w:w="13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强，面向检索的表格处理</w:t>
            </w:r>
          </w:p>
        </w:tc>
        <w:tc>
          <w:tcPr>
            <w:tcW w:type="dxa" w:w="107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Apache-2.0</w:t>
            </w:r>
          </w:p>
        </w:tc>
        <w:tc>
          <w:tcPr>
            <w:tcW w:type="dxa" w:w="56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91.2k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Marker + Surya</w:t>
              <w:br/>
              <w:t>（datalab）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PDF 转 Markdown 与 JSON，速度快；Surya 提供版面、阅读顺序、表格与 OCR</w:t>
            </w:r>
          </w:p>
        </w:tc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有。JSON 内含版面与块级框</w:t>
            </w:r>
          </w:p>
        </w:tc>
        <w:tc>
          <w:tcPr>
            <w:tcW w:type="dxa" w:w="13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较强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代码 Apache-2.0，模型 OpenRAIL-M</w:t>
            </w:r>
          </w:p>
        </w:tc>
        <w:tc>
          <w:tcPr>
            <w:tcW w:type="dxa" w:w="56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39.9k / 21.4k</w:t>
            </w:r>
          </w:p>
        </w:tc>
      </w:tr>
      <w:tr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olmOCR</w:t>
              <w:br/>
              <w:t>（AI2）</w:t>
            </w:r>
          </w:p>
        </w:tc>
        <w:tc>
          <w:tcPr>
            <w:tcW w:type="dxa" w:w="243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面向扫描件与学术 PDF 的线性化工具链，含基准与微调脚本</w:t>
            </w:r>
          </w:p>
        </w:tc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有，页图像与版面单元</w:t>
            </w:r>
          </w:p>
        </w:tc>
        <w:tc>
          <w:tcPr>
            <w:tcW w:type="dxa" w:w="13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107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Apache-2.0</w:t>
            </w:r>
          </w:p>
        </w:tc>
        <w:tc>
          <w:tcPr>
            <w:tcW w:type="dxa" w:w="56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19.7k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dots.ocr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单一视觉语言模型完成多语言版面解析，含表格与阅读顺序</w:t>
            </w:r>
          </w:p>
        </w:tc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有，版面单元带坐标</w:t>
            </w:r>
          </w:p>
        </w:tc>
        <w:tc>
          <w:tcPr>
            <w:tcW w:type="dxa" w:w="13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强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MIT</w:t>
            </w:r>
          </w:p>
        </w:tc>
        <w:tc>
          <w:tcPr>
            <w:tcW w:type="dxa" w:w="56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9.1k</w:t>
            </w:r>
          </w:p>
        </w:tc>
      </w:tr>
      <w:tr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Chandra</w:t>
              <w:br/>
              <w:t>（datalab）</w:t>
            </w:r>
          </w:p>
        </w:tc>
        <w:tc>
          <w:tcPr>
            <w:tcW w:type="dxa" w:w="243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面向复杂表格、表单、手写体的版面模型</w:t>
            </w:r>
          </w:p>
        </w:tc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有</w:t>
            </w:r>
          </w:p>
        </w:tc>
        <w:tc>
          <w:tcPr>
            <w:tcW w:type="dxa" w:w="13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强</w:t>
            </w:r>
          </w:p>
        </w:tc>
        <w:tc>
          <w:tcPr>
            <w:tcW w:type="dxa" w:w="107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Apache-2.0</w:t>
            </w:r>
          </w:p>
        </w:tc>
        <w:tc>
          <w:tcPr>
            <w:tcW w:type="dxa" w:w="56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12.3k</w:t>
            </w:r>
          </w:p>
        </w:tc>
      </w:tr>
      <w:tr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PDF-Extract-Kit</w:t>
              <w:br/>
              <w:t>（opendatalab）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版面、公式、表格、OCR 模型集合，可直接产出版面 JSON</w:t>
            </w:r>
          </w:p>
        </w:tc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有，块级 bbox</w:t>
            </w:r>
          </w:p>
        </w:tc>
        <w:tc>
          <w:tcPr>
            <w:tcW w:type="dxa" w:w="13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AGPL-3.0</w:t>
            </w:r>
          </w:p>
        </w:tc>
        <w:tc>
          <w:tcPr>
            <w:tcW w:type="dxa" w:w="56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10.0k</w:t>
            </w:r>
          </w:p>
        </w:tc>
      </w:tr>
      <w:tr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Unstructured</w:t>
            </w:r>
          </w:p>
        </w:tc>
        <w:tc>
          <w:tcPr>
            <w:tcW w:type="dxa" w:w="243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通用文档 ETL，元素级切分，生态与集成最广</w:t>
            </w:r>
          </w:p>
        </w:tc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有，元素元数据含页码与坐标（取决于所用后端）</w:t>
            </w:r>
          </w:p>
        </w:tc>
        <w:tc>
          <w:tcPr>
            <w:tcW w:type="dxa" w:w="13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中</w:t>
            </w:r>
          </w:p>
        </w:tc>
        <w:tc>
          <w:tcPr>
            <w:tcW w:type="dxa" w:w="107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Apache-2.0</w:t>
            </w:r>
          </w:p>
        </w:tc>
        <w:tc>
          <w:tcPr>
            <w:tcW w:type="dxa" w:w="56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15.5k</w:t>
            </w:r>
          </w:p>
        </w:tc>
      </w:tr>
    </w:tbl>
    <w:p>
      <w:pPr>
        <w:pStyle w:val="Heading2"/>
      </w:pPr>
      <w:r>
        <w:t>4.2 底层库与专用模型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pdfplumber 与 PyMuPDF：直接读取 PDF 文本层，能拿到字符级坐标与页码，速度极快，适合做前置探测、文本层判断与交叉校验基线。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Camelot 与 Table Transformer：分别面向规则表格与深度学习表格检测，可用作表格抽取的补充手段。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PaddleOCR-VL 与 DeepSeek-OCR 等视觉语言模型：面向扫描件与图片型研报，输出 Markdown 或 JSON，坐标粒度弱于 PP-StructureV3。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OmniDocBench（opendatalab）：文档解析评测基准，覆盖研报、论文、教材等场景，标注含多边形定位、页码、阅读顺序与表格结构。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综合判断：如果要在两周内跑通一条可用流水线，MinerU 与 Docling 是性价比最高的两个主干选择。MinerU 中文场景与表格效果更好、开箱工具链更全；Docling 的数据模型最干净，页码、坐标、字符跨度三件套齐全，许可证也最宽松。PP-StructureV3 适合作为表格与扫描件的增强组件。</w:t>
      </w:r>
    </w:p>
    <w:p>
      <w:pPr>
        <w:pStyle w:val="Heading1"/>
      </w:pPr>
      <w:r>
        <w:t>五、知识库与横向对比侧的开源项目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2268"/>
        <w:gridCol w:w="3175"/>
        <w:gridCol w:w="1247"/>
        <w:gridCol w:w="794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26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175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与我们需求的关系</w:t>
            </w:r>
          </w:p>
        </w:tc>
        <w:tc>
          <w:tcPr>
            <w:tcW w:type="dxa" w:w="1247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许可证</w:t>
            </w:r>
          </w:p>
        </w:tc>
        <w:tc>
          <w:tcPr>
            <w:tcW w:type="dxa" w:w="794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星标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OpenViking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Agent 上下文数据库，统一知识、记忆与技能</w:t>
            </w:r>
          </w:p>
        </w:tc>
        <w:tc>
          <w:tcPr>
            <w:tcW w:type="dxa" w:w="31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目录级检索、上下文编译，适合做多文档对比与可溯源问答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AGPL-3.0</w:t>
            </w:r>
          </w:p>
        </w:tc>
        <w:tc>
          <w:tcPr>
            <w:tcW w:type="dxa" w:w="7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38.6k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RAGFlow</w:t>
            </w:r>
          </w:p>
        </w:tc>
        <w:tc>
          <w:tcPr>
            <w:tcW w:type="dxa" w:w="226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企业级检索增强引擎，深度文档理解与可视化切片</w:t>
            </w:r>
          </w:p>
        </w:tc>
        <w:tc>
          <w:tcPr>
            <w:tcW w:type="dxa" w:w="317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切片带位置信息，可回高亮到原文，天然满足证据回溯；内置知识图谱与多路召回</w:t>
            </w:r>
          </w:p>
        </w:tc>
        <w:tc>
          <w:tcPr>
            <w:tcW w:type="dxa" w:w="124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Apache-2.0</w:t>
            </w:r>
          </w:p>
        </w:tc>
        <w:tc>
          <w:tcPr>
            <w:tcW w:type="dxa" w:w="79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91.2k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Dify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低代码 Agent 与 RAG 工作流编排平台</w:t>
            </w:r>
          </w:p>
        </w:tc>
        <w:tc>
          <w:tcPr>
            <w:tcW w:type="dxa" w:w="31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适合做演示界面与流程编排，解析与检索能力依赖其内置组件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自定义附加条款</w:t>
            </w:r>
          </w:p>
        </w:tc>
        <w:tc>
          <w:tcPr>
            <w:tcW w:type="dxa" w:w="7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157.0k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WeKnora</w:t>
            </w:r>
          </w:p>
        </w:tc>
        <w:tc>
          <w:tcPr>
            <w:tcW w:type="dxa" w:w="226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腾讯开源的知识平台，多模态解析加 RAG 与 Agent</w:t>
            </w:r>
          </w:p>
        </w:tc>
        <w:tc>
          <w:tcPr>
            <w:tcW w:type="dxa" w:w="317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与 RAGFlow 定位接近，Go 技术栈，适合整体参考</w:t>
            </w:r>
          </w:p>
        </w:tc>
        <w:tc>
          <w:tcPr>
            <w:tcW w:type="dxa" w:w="124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自定义附加条款</w:t>
            </w:r>
          </w:p>
        </w:tc>
        <w:tc>
          <w:tcPr>
            <w:tcW w:type="dxa" w:w="79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29.4k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LightRAG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轻量图式检索增强</w:t>
            </w:r>
          </w:p>
        </w:tc>
        <w:tc>
          <w:tcPr>
            <w:tcW w:type="dxa" w:w="31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用实体关系图做跨文档关联，适合发现不同研报间的矛盾点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MIT</w:t>
            </w:r>
          </w:p>
        </w:tc>
        <w:tc>
          <w:tcPr>
            <w:tcW w:type="dxa" w:w="7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39.8k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GraphRAG</w:t>
            </w:r>
          </w:p>
        </w:tc>
        <w:tc>
          <w:tcPr>
            <w:tcW w:type="dxa" w:w="226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微软的图式检索增强</w:t>
            </w:r>
          </w:p>
        </w:tc>
        <w:tc>
          <w:tcPr>
            <w:tcW w:type="dxa" w:w="317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社区摘要式检索，适合跨文件主题级对比</w:t>
            </w:r>
          </w:p>
        </w:tc>
        <w:tc>
          <w:tcPr>
            <w:tcW w:type="dxa" w:w="124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MIT</w:t>
            </w:r>
          </w:p>
        </w:tc>
        <w:tc>
          <w:tcPr>
            <w:tcW w:type="dxa" w:w="79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36.1k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KAG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知识增强生成框架，逻辑形式引导推理</w:t>
            </w:r>
          </w:p>
        </w:tc>
        <w:tc>
          <w:tcPr>
            <w:tcW w:type="dxa" w:w="31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面向专业领域的推理型检索，适合财务指标间的关系推理</w:t>
            </w:r>
          </w:p>
        </w:tc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Apache-2.0</w:t>
            </w:r>
          </w:p>
        </w:tc>
        <w:tc>
          <w:tcPr>
            <w:tcW w:type="dxa" w:w="7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9.1k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Milvus / Qdrant / pgvector</w:t>
            </w:r>
          </w:p>
        </w:tc>
        <w:tc>
          <w:tcPr>
            <w:tcW w:type="dxa" w:w="226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向量数据库</w:t>
            </w:r>
          </w:p>
        </w:tc>
        <w:tc>
          <w:tcPr>
            <w:tcW w:type="dxa" w:w="317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自建检索时作为存储层；pgvector 可与业务库同库部署，成本最低</w:t>
            </w:r>
          </w:p>
        </w:tc>
        <w:tc>
          <w:tcPr>
            <w:tcW w:type="dxa" w:w="124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各自开源许可</w:t>
            </w:r>
          </w:p>
        </w:tc>
        <w:tc>
          <w:tcPr>
            <w:tcW w:type="dxa" w:w="79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-</w:t>
            </w:r>
          </w:p>
        </w:tc>
      </w:tr>
    </w:tbl>
    <w:p>
      <w:pPr>
        <w:pStyle w:val="BodyTextCN"/>
      </w:pPr>
      <w:r>
        <w:rPr>
          <w:rFonts w:ascii="宋体" w:hAnsi="宋体" w:eastAsia="宋体"/>
          <w:color w:val="1A1A1A"/>
          <w:sz w:val="21"/>
        </w:rPr>
        <w:t>做选择时可以抓一条主线：如果比赛要演示“研报之间的横向对比”和“答案可回溯”，RAGFlow 的切片定位能力更直接；如果演示重点在 Agent 记忆与上下文管理，OpenViking 的目录化抽象更亮眼。两者都不排斥同时使用，因为它们消费的都是同一份结构化解析结果。</w:t>
      </w:r>
    </w:p>
    <w:p>
      <w:pPr>
        <w:pStyle w:val="Heading1"/>
      </w:pPr>
      <w:r>
        <w:t>六、建议的模块架构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把解析与知识库解耦，用一份规范化的中间表示做接口。解析层负责把任何格式的研报变成统一 JSON，知识库层只消费这份 JSON，不再接触原始 PDF。这样解析引擎可以随评测结论替换，知识库也可以独立演进。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3175"/>
        <w:gridCol w:w="4195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175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承担组件</w:t>
            </w:r>
          </w:p>
        </w:tc>
        <w:tc>
          <w:tcPr>
            <w:tcW w:type="dxa" w:w="4195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解析层</w:t>
            </w:r>
          </w:p>
        </w:tc>
        <w:tc>
          <w:tcPr>
            <w:tcW w:type="dxa" w:w="31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主：MinerU 或 Docling；辅：PyMuPDF / pdfplumber；增强：PP-StructureV3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文本、表格、版面、页码、坐标抽取；扫描件走视觉模型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规范化层</w:t>
            </w:r>
          </w:p>
        </w:tc>
        <w:tc>
          <w:tcPr>
            <w:tcW w:type="dxa" w:w="317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自研，统一 JSON 契约</w:t>
            </w:r>
          </w:p>
        </w:tc>
        <w:tc>
          <w:tcPr>
            <w:tcW w:type="dxa" w:w="419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字段归一、页码与坐标补全、跨页表格合并、页面质量分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知识库层</w:t>
            </w:r>
          </w:p>
        </w:tc>
        <w:tc>
          <w:tcPr>
            <w:tcW w:type="dxa" w:w="317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OpenViking 或 RAGFlow，向量库可用 pgvector / Milvus</w:t>
            </w:r>
          </w:p>
        </w:tc>
        <w:tc>
          <w:tcPr>
            <w:tcW w:type="dxa" w:w="419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切分入库、检索、多文档对比、证据回链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应用层</w:t>
            </w:r>
          </w:p>
        </w:tc>
        <w:tc>
          <w:tcPr>
            <w:tcW w:type="dxa" w:w="317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核查规则引擎与大模型比对服务</w:t>
            </w:r>
          </w:p>
        </w:tc>
        <w:tc>
          <w:tcPr>
            <w:tcW w:type="dxa" w:w="419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调用结构化字段做数值核对、结论比对、引用溯源</w:t>
            </w:r>
          </w:p>
        </w:tc>
      </w:tr>
    </w:tbl>
    <w:p>
      <w:pPr>
        <w:pStyle w:val="Heading2"/>
      </w:pPr>
      <w:r>
        <w:t>6.1 建议的中间表示字段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每个解析单元都必须带页码和边界框，这是可回溯的下限。建议字段如下，其中 page 与 bbox 设为必填，缺失即视为解析失败。</w:t>
      </w:r>
    </w:p>
    <w:p>
      <w:pPr>
        <w:spacing w:before="80" w:after="160" w:line="276" w:lineRule="auto"/>
        <w:ind w:left="227"/>
      </w:pPr>
      <w:r>
        <w:rPr>
          <w:rFonts w:ascii="Consolas" w:hAnsi="Consolas" w:eastAsia="Consolas"/>
          <w:color w:val="222222"/>
          <w:sz w:val="17"/>
        </w:rPr>
        <w:t>{</w:t>
        <w:br/>
        <w:t xml:space="preserve">  "doc_id": "report_2025_600XXX",</w:t>
        <w:br/>
        <w:t xml:space="preserve">  "page": 12,</w:t>
        <w:br/>
        <w:t xml:space="preserve">  "page_size": {"width": 595.0, "height": 842.0},</w:t>
        <w:br/>
        <w:t xml:space="preserve">  "blocks": [</w:t>
        <w:br/>
        <w:t xml:space="preserve">    {"id": "p12_b3", "type": "text",</w:t>
        <w:br/>
        <w:t xml:space="preserve">     "bbox": [72.0, 310.5, 523.0, 402.8],</w:t>
        <w:br/>
        <w:t xml:space="preserve">     "text": "公司 2025 年上半年营业收入同比增长 18.6%...",</w:t>
        <w:br/>
        <w:t xml:space="preserve">     "order": 3, "level": "body"},</w:t>
        <w:br/>
        <w:t xml:space="preserve">    {"id": "p12_t1", "type": "table",</w:t>
        <w:br/>
        <w:t xml:space="preserve">     "bbox": [72.0, 430.0, 523.0, 690.0],</w:t>
        <w:br/>
        <w:t xml:space="preserve">     "caption": "表 3 主要财务指标", "source": "公司半年报",</w:t>
        <w:br/>
        <w:t xml:space="preserve">     "cells": [{"row": 0, "col": 0, "text": "指标",</w:t>
        <w:br/>
        <w:t xml:space="preserve">                 "bbox": [72.0, 430.0, 180.0, 452.0]}]}</w:t>
        <w:br/>
        <w:t xml:space="preserve">  ],</w:t>
        <w:br/>
        <w:t xml:space="preserve">  "quality": {"status": "ok", "text_coverage": 0.94,</w:t>
        <w:br/>
        <w:t xml:space="preserve">              "garbled_ratio": 0.0007, "engine_agreement": 0.97,</w:t>
        <w:br/>
        <w:t xml:space="preserve">              "reasons": []}</w:t>
        <w:br/>
        <w:t>}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表格用 cells 数组保存每个单元格的坐标，好处是可以把核查结论直接映射回原文的具体格子，评审和演示时只要点一下就能定位到页面上的那一格。</w:t>
      </w:r>
    </w:p>
    <w:p>
      <w:pPr>
        <w:pStyle w:val="Heading1"/>
      </w:pPr>
      <w:r>
        <w:t>七、解析失败的识别方法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解析失败通常不会抛出异常，而是安静地输出乱码、漏页或错行的结果，因此需要主动检查。建议按“确定性规则、交叉校验、模型抽检”三层组织，逐层提高成本，也逐层提高召回。</w:t>
      </w:r>
    </w:p>
    <w:p>
      <w:pPr>
        <w:pStyle w:val="Heading2"/>
      </w:pPr>
      <w:r>
        <w:t>7.1 第一层：确定性的完整性检查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字段完整性：</w:t>
      </w:r>
      <w:r>
        <w:rPr>
          <w:rFonts w:ascii="宋体" w:hAnsi="宋体" w:eastAsia="宋体"/>
          <w:color w:val="1A1A1A"/>
          <w:sz w:val="21"/>
        </w:rPr>
        <w:t>每个块必须有页码与边界框，表格必须行列数一致，缺失或越界直接判失败。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页数与覆盖率：</w:t>
      </w:r>
      <w:r>
        <w:rPr>
          <w:rFonts w:ascii="宋体" w:hAnsi="宋体" w:eastAsia="宋体"/>
          <w:color w:val="1A1A1A"/>
          <w:sz w:val="21"/>
        </w:rPr>
        <w:t>比对 PDF 页数与解析页数；统计每页字符密度，出现空页或字符密度异常低的页要标记。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乱码检测：</w:t>
      </w:r>
      <w:r>
        <w:rPr>
          <w:rFonts w:ascii="宋体" w:hAnsi="宋体" w:eastAsia="宋体"/>
          <w:color w:val="1A1A1A"/>
          <w:sz w:val="21"/>
        </w:rPr>
        <w:t>统计替换字符、CID 编码残留、私用区字符的比例，电子版研报里这个指标最灵敏。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结构合理性：</w:t>
      </w:r>
      <w:r>
        <w:rPr>
          <w:rFonts w:ascii="宋体" w:hAnsi="宋体" w:eastAsia="宋体"/>
          <w:color w:val="1A1A1A"/>
          <w:sz w:val="21"/>
        </w:rPr>
        <w:t>阅读顺序是否与坐标顺序一致，标题层级是否出现异常跳变，表格列数在同一张表内是否突变。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数值合理性：</w:t>
      </w:r>
      <w:r>
        <w:rPr>
          <w:rFonts w:ascii="宋体" w:hAnsi="宋体" w:eastAsia="宋体"/>
          <w:color w:val="1A1A1A"/>
          <w:sz w:val="21"/>
        </w:rPr>
        <w:t>抽查金额、百分比、单位字段，判断千分位、负号、括号负数是否被错误解析。</w:t>
      </w:r>
    </w:p>
    <w:p>
      <w:pPr>
        <w:pStyle w:val="Heading2"/>
      </w:pPr>
      <w:r>
        <w:t>7.2 第二层：双引擎交叉校验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同一页用两套机制解析，比对结果的一致性。实践中最省成本的组合是“版面引擎 + 原生文本层”：主引擎用 MinerU 或 Docling，对照引擎用 PyMuPDF 直接读文本层。两者归一化后计算文本相似度，再单独比对数字序列。文本层缺失说明是扫描件，需要改走 OCR 分支；两者差异过大说明版面识别可能出错，该页进入人工复核队列。这也顺带解决了电子版与扫描件的路由问题。</w:t>
      </w:r>
    </w:p>
    <w:p>
      <w:pPr>
        <w:pStyle w:val="Heading2"/>
      </w:pPr>
      <w:r>
        <w:t>7.3 第三层：视觉模型抽检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按比例随机抽取页面，渲染成图片后让视觉模型判断“图中内容与解析文本是否一致”，重点检查表格与数字。抽检比例控制在 5% 到 10% 即可，既能发现系统性错误，又不会让成本失控。视觉模型抽查出的问题页，应回流成测试样本，用于验证规则阈值是否合理。</w:t>
      </w:r>
    </w:p>
    <w:p>
      <w:pPr>
        <w:pStyle w:val="Heading2"/>
      </w:pPr>
      <w:r>
        <w:t>7.4 输出与闭环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每页给出一个质量分和状态（正常、警告、失败），附上具体原因，汇总成解析质量报告。核查环节的结论只允许引用“正常”与“警告”页的证据；“失败”页只提示解析异常，不进入自动结论，避免把解析错误传播成业务误判。这样处理还有一个额外好处：评审可以清楚看到系统知道自己哪里不确定。</w:t>
      </w:r>
    </w:p>
    <w:p>
      <w:pPr>
        <w:pStyle w:val="Heading1"/>
      </w:pPr>
      <w:r>
        <w:t>八、评测与验收指标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建议自建一个小而真实的数据集：30 到 50 篇研报，覆盖电子版、扫描版、双栏、跨页大表、图片型图表、页眉页脚干扰这几类情况，每篇人工标注少量关键结论与关键财务数据的页码与位置，作为金标准。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3742"/>
        <w:gridCol w:w="3628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指标类别</w:t>
            </w:r>
          </w:p>
        </w:tc>
        <w:tc>
          <w:tcPr>
            <w:tcW w:type="dxa" w:w="3742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具体指标</w:t>
            </w:r>
          </w:p>
        </w:tc>
        <w:tc>
          <w:tcPr>
            <w:tcW w:type="dxa" w:w="362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解析质量</w:t>
            </w:r>
          </w:p>
        </w:tc>
        <w:tc>
          <w:tcPr>
            <w:tcW w:type="dxa" w:w="374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文本归一化编辑距离、表格 TEDS、阅读顺序编辑距离、版面定位 mAP</w:t>
            </w:r>
          </w:p>
        </w:tc>
        <w:tc>
          <w:tcPr>
            <w:tcW w:type="dxa" w:w="3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可与 OmniDocBench 的评测口径对齐，便于横向比较不同引擎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业务质量</w:t>
            </w:r>
          </w:p>
        </w:tc>
        <w:tc>
          <w:tcPr>
            <w:tcW w:type="dxa" w:w="374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财务表格单元格级准确率、页码命中率、坐标命中率</w:t>
            </w:r>
          </w:p>
        </w:tc>
        <w:tc>
          <w:tcPr>
            <w:tcW w:type="dxa" w:w="36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直接对应核查工具能不能用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失败识别</w:t>
            </w:r>
          </w:p>
        </w:tc>
        <w:tc>
          <w:tcPr>
            <w:tcW w:type="dxa" w:w="374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解析失败召回率、误报率、人工复核占比</w:t>
            </w:r>
          </w:p>
        </w:tc>
        <w:tc>
          <w:tcPr>
            <w:tcW w:type="dxa" w:w="36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衡量质量分体系是否可信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工程性能</w:t>
            </w:r>
          </w:p>
        </w:tc>
        <w:tc>
          <w:tcPr>
            <w:tcW w:type="dxa" w:w="374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单页耗时、单篇成本、显存占用、并发吞吐</w:t>
            </w:r>
          </w:p>
        </w:tc>
        <w:tc>
          <w:tcPr>
            <w:tcW w:type="dxa" w:w="36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决定比赛现场演示是否流畅</w:t>
            </w:r>
          </w:p>
        </w:tc>
      </w:tr>
    </w:tbl>
    <w:p>
      <w:pPr>
        <w:pStyle w:val="Heading1"/>
      </w:pPr>
      <w:r>
        <w:t>九、三周落地安排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7"/>
        <w:gridCol w:w="4082"/>
        <w:gridCol w:w="3515"/>
      </w:tblGrid>
      <w:tr>
        <w:trPr>
          <w:tblHeader w:val="true"/>
        </w:trPr>
        <w:tc>
          <w:tcPr>
            <w:tcW w:type="dxa" w:w="1247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082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515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</w:t>
            </w:r>
          </w:p>
        </w:tc>
      </w:tr>
      <w:tr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第一周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采样与基线搭建：跑通 PyMuPDF、Docling、MinerU 三条链路，确定主引擎</w:t>
            </w:r>
          </w:p>
        </w:tc>
        <w:tc>
          <w:tcPr>
            <w:tcW w:type="dxa" w:w="35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解析对比结论、统一 JSON 契约、解析接口定义</w:t>
            </w:r>
          </w:p>
        </w:tc>
      </w:tr>
      <w:tr>
        <w:tc>
          <w:tcPr>
            <w:tcW w:type="dxa" w:w="124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第二周</w:t>
            </w:r>
          </w:p>
        </w:tc>
        <w:tc>
          <w:tcPr>
            <w:tcW w:type="dxa" w:w="408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表格与扫描件增强，加入失败识别规则与页面质量分</w:t>
            </w:r>
          </w:p>
        </w:tc>
        <w:tc>
          <w:tcPr>
            <w:tcW w:type="dxa" w:w="351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解析服务、质量报告、失败样本集</w:t>
            </w:r>
          </w:p>
        </w:tc>
      </w:tr>
      <w:tr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第三周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接入知识库做检索与多文档横向对比，完成评测与文档</w:t>
            </w:r>
          </w:p>
        </w:tc>
        <w:tc>
          <w:tcPr>
            <w:tcW w:type="dxa" w:w="35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端到端演示、评测报告、模块说明</w:t>
            </w:r>
          </w:p>
        </w:tc>
      </w:tr>
    </w:tbl>
    <w:p>
      <w:pPr>
        <w:pStyle w:val="Heading1"/>
      </w:pPr>
      <w:r>
        <w:t>十、许可证与风险提示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OpenViking：</w:t>
      </w:r>
      <w:r>
        <w:rPr>
          <w:rFonts w:ascii="宋体" w:hAnsi="宋体" w:eastAsia="宋体"/>
          <w:color w:val="1A1A1A"/>
          <w:sz w:val="21"/>
        </w:rPr>
        <w:t>AGPL-3.0，通过网络提供服务时需履行开源义务，比赛演示阶段无影响，产品化前需评估。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MinerU：</w:t>
      </w:r>
      <w:r>
        <w:rPr>
          <w:rFonts w:ascii="宋体" w:hAnsi="宋体" w:eastAsia="宋体"/>
          <w:color w:val="1A1A1A"/>
          <w:sz w:val="21"/>
        </w:rPr>
        <w:t>Apache-2.0 附加条款，月活超过一亿或月收入超过两千万美元需单独商业许可，在线服务需显著标注来源。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Marker 与 Surya：</w:t>
      </w:r>
      <w:r>
        <w:rPr>
          <w:rFonts w:ascii="宋体" w:hAnsi="宋体" w:eastAsia="宋体"/>
          <w:color w:val="1A1A1A"/>
          <w:sz w:val="21"/>
        </w:rPr>
        <w:t>代码为 Apache-2.0，模型权重为 OpenRAIL-M，商用前需确认模型条款。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Docling、PaddleOCR、RAGFlow、olmOCR、Unstructured、pdfplumber、Camelot：MIT 或 Apache-2.0，限制最少。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如果团队考虑长期做成产品，优先选择 MIT 与 Apache-2.0 的组合：解析用 Docling 或 PaddleOCR，知识库用 RAGFlow，法律负担最小。OpenViking 更适合作为设计思路参考，或先用它验证检索与对比效果。</w:t>
      </w:r>
    </w:p>
    <w:p>
      <w:pPr>
        <w:pStyle w:val="Heading1"/>
      </w:pPr>
      <w:r>
        <w:t>十一、参考链接</w:t>
      </w:r>
    </w:p>
    <w:p>
      <w:pPr>
        <w:pStyle w:val="BodyTextCN"/>
        <w:spacing w:after="40"/>
        <w:ind w:left="425" w:hanging="198"/>
      </w:pPr>
      <w:r>
        <w:rPr>
          <w:rFonts w:ascii="宋体" w:hAnsi="宋体" w:eastAsia="宋体"/>
          <w:color w:val="1A1A1A"/>
          <w:sz w:val="19"/>
        </w:rPr>
        <w:t>• OpenViking：https://github.com/volcengine/OpenViking</w:t>
      </w:r>
    </w:p>
    <w:p>
      <w:pPr>
        <w:pStyle w:val="BodyTextCN"/>
        <w:spacing w:after="40"/>
        <w:ind w:left="425" w:hanging="198"/>
      </w:pPr>
      <w:r>
        <w:rPr>
          <w:rFonts w:ascii="宋体" w:hAnsi="宋体" w:eastAsia="宋体"/>
          <w:color w:val="1A1A1A"/>
          <w:sz w:val="19"/>
        </w:rPr>
        <w:t>• MinerU：https://github.com/opendatalab/MinerU</w:t>
      </w:r>
    </w:p>
    <w:p>
      <w:pPr>
        <w:pStyle w:val="BodyTextCN"/>
        <w:spacing w:after="40"/>
        <w:ind w:left="425" w:hanging="198"/>
      </w:pPr>
      <w:r>
        <w:rPr>
          <w:rFonts w:ascii="宋体" w:hAnsi="宋体" w:eastAsia="宋体"/>
          <w:color w:val="1A1A1A"/>
          <w:sz w:val="19"/>
        </w:rPr>
        <w:t>• MinerU 输出格式说明：https://opendatalab.github.io/MinerU/reference/output_files/</w:t>
      </w:r>
    </w:p>
    <w:p>
      <w:pPr>
        <w:pStyle w:val="BodyTextCN"/>
        <w:spacing w:after="40"/>
        <w:ind w:left="425" w:hanging="198"/>
      </w:pPr>
      <w:r>
        <w:rPr>
          <w:rFonts w:ascii="宋体" w:hAnsi="宋体" w:eastAsia="宋体"/>
          <w:color w:val="1A1A1A"/>
          <w:sz w:val="19"/>
        </w:rPr>
        <w:t>• Docling：https://github.com/docling-project/docling</w:t>
      </w:r>
    </w:p>
    <w:p>
      <w:pPr>
        <w:pStyle w:val="BodyTextCN"/>
        <w:spacing w:after="40"/>
        <w:ind w:left="425" w:hanging="198"/>
      </w:pPr>
      <w:r>
        <w:rPr>
          <w:rFonts w:ascii="宋体" w:hAnsi="宋体" w:eastAsia="宋体"/>
          <w:color w:val="1A1A1A"/>
          <w:sz w:val="19"/>
        </w:rPr>
        <w:t>• PaddleOCR 与 PP-StructureV3：https://github.com/PaddlePaddle/PaddleOCR</w:t>
      </w:r>
    </w:p>
    <w:p>
      <w:pPr>
        <w:pStyle w:val="BodyTextCN"/>
        <w:spacing w:after="40"/>
        <w:ind w:left="425" w:hanging="198"/>
      </w:pPr>
      <w:r>
        <w:rPr>
          <w:rFonts w:ascii="宋体" w:hAnsi="宋体" w:eastAsia="宋体"/>
          <w:color w:val="1A1A1A"/>
          <w:sz w:val="19"/>
        </w:rPr>
        <w:t>• RAGFlow：https://github.com/infiniflow/ragflow</w:t>
      </w:r>
    </w:p>
    <w:p>
      <w:pPr>
        <w:pStyle w:val="BodyTextCN"/>
        <w:spacing w:after="40"/>
        <w:ind w:left="425" w:hanging="198"/>
      </w:pPr>
      <w:r>
        <w:rPr>
          <w:rFonts w:ascii="宋体" w:hAnsi="宋体" w:eastAsia="宋体"/>
          <w:color w:val="1A1A1A"/>
          <w:sz w:val="19"/>
        </w:rPr>
        <w:t>• Marker 与 Surya：https://github.com/datalab-to/marker</w:t>
      </w:r>
    </w:p>
    <w:p>
      <w:pPr>
        <w:pStyle w:val="BodyTextCN"/>
        <w:spacing w:after="40"/>
        <w:ind w:left="425" w:hanging="198"/>
      </w:pPr>
      <w:r>
        <w:rPr>
          <w:rFonts w:ascii="宋体" w:hAnsi="宋体" w:eastAsia="宋体"/>
          <w:color w:val="1A1A1A"/>
          <w:sz w:val="19"/>
        </w:rPr>
        <w:t>• olmOCR：https://github.com/allenai/olmocr</w:t>
      </w:r>
    </w:p>
    <w:p>
      <w:pPr>
        <w:pStyle w:val="BodyTextCN"/>
        <w:spacing w:after="40"/>
        <w:ind w:left="425" w:hanging="198"/>
      </w:pPr>
      <w:r>
        <w:rPr>
          <w:rFonts w:ascii="宋体" w:hAnsi="宋体" w:eastAsia="宋体"/>
          <w:color w:val="1A1A1A"/>
          <w:sz w:val="19"/>
        </w:rPr>
        <w:t>• dots.ocr：https://github.com/studio-dots-ai/dots.ocr</w:t>
      </w:r>
    </w:p>
    <w:p>
      <w:pPr>
        <w:pStyle w:val="BodyTextCN"/>
        <w:spacing w:after="40"/>
        <w:ind w:left="425" w:hanging="198"/>
      </w:pPr>
      <w:r>
        <w:rPr>
          <w:rFonts w:ascii="宋体" w:hAnsi="宋体" w:eastAsia="宋体"/>
          <w:color w:val="1A1A1A"/>
          <w:sz w:val="19"/>
        </w:rPr>
        <w:t>• OmniDocBench：https://github.com/opendatalab/OmniDocBench</w:t>
      </w:r>
    </w:p>
    <w:p>
      <w:pPr>
        <w:pStyle w:val="BodyTextCN"/>
        <w:spacing w:after="40"/>
        <w:ind w:left="425" w:hanging="198"/>
      </w:pPr>
      <w:r>
        <w:rPr>
          <w:rFonts w:ascii="宋体" w:hAnsi="宋体" w:eastAsia="宋体"/>
          <w:color w:val="1A1A1A"/>
          <w:sz w:val="19"/>
        </w:rPr>
        <w:t>• LightRAG：https://github.com/HKUDS/LightRAG</w:t>
      </w:r>
    </w:p>
    <w:p>
      <w:pPr>
        <w:pStyle w:val="BodyTextCN"/>
        <w:spacing w:after="40"/>
        <w:ind w:left="425" w:hanging="198"/>
      </w:pPr>
      <w:r>
        <w:rPr>
          <w:rFonts w:ascii="宋体" w:hAnsi="宋体" w:eastAsia="宋体"/>
          <w:color w:val="1A1A1A"/>
          <w:sz w:val="19"/>
        </w:rPr>
        <w:t>• GraphRAG：https://github.com/microsoft/graphrag</w:t>
      </w:r>
    </w:p>
    <w:sectPr w:rsidR="00FC693F" w:rsidRPr="0006063C" w:rsidSect="00034616"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72" w:lineRule="auto"/>
    </w:pPr>
    <w:rPr>
      <w:rFonts w:ascii="宋体" w:hAnsi="宋体" w:eastAsia="宋体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312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12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A1A1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N">
    <w:name w:val="BodyTextCN"/>
    <w:pPr>
      <w:spacing w:before="0" w:after="140" w:line="372" w:lineRule="auto"/>
    </w:pPr>
    <w:rPr>
      <w:rFonts w:ascii="宋体" w:hAnsi="宋体" w:eastAsia="宋体"/>
      <w:b w:val="0"/>
      <w:color w:val="1A1A1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