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0"/>
        </w:rPr>
        <w:t>解析样本来源目录</w:t>
      </w:r>
    </w:p>
    <w:p>
      <w:pPr>
        <w:pStyle w:val="BCN"/>
        <w:spacing w:after="260"/>
      </w:pPr>
      <w:r>
        <w:rPr>
          <w:rFonts w:ascii="微软雅黑" w:hAnsi="微软雅黑" w:eastAsia="微软雅黑"/>
          <w:color w:val="444444"/>
          <w:sz w:val="23"/>
        </w:rPr>
        <w:t>研报纠错助手 · PDF 解析模块（成员 B）· 交 E 整理评测记录用</w:t>
      </w:r>
    </w:p>
    <w:p>
      <w:pPr>
        <w:pStyle w:val="BCN"/>
      </w:pPr>
      <w:r>
        <w:rPr>
          <w:rFonts w:ascii="宋体" w:hAnsi="宋体" w:eastAsia="宋体"/>
          <w:color w:val="1A1A1A"/>
          <w:sz w:val="21"/>
        </w:rPr>
        <w:t>按分工文档表 4，B 负责在 10 月 15 日前提供来源，由 E 汇总成标注样例与评测记录。本目录登记解析与核查用到的全部文件来源；原始 PDF 一律不进代码仓库，只登记来源信息。最终对外提交前，请确认每份材料的引用与分发符合来源方的使用条款。</w:t>
      </w:r>
    </w:p>
    <w:p>
      <w:pPr>
        <w:pStyle w:val="Heading1"/>
      </w:pPr>
      <w:r>
        <w:t>一、登记模板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4195"/>
        <w:gridCol w:w="3855"/>
      </w:tblGrid>
      <w:tr>
        <w:tc>
          <w:tcPr>
            <w:tcW w:type="dxa" w:w="1474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195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855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文件编号</w:t>
            </w:r>
          </w:p>
        </w:tc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用于评测记录引用的稳定编号</w:t>
            </w:r>
          </w:p>
        </w:tc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R-001</w:t>
            </w:r>
          </w:p>
        </w:tc>
      </w:tr>
      <w:tr>
        <w:tc>
          <w:tcPr>
            <w:tcW w:type="dxa" w:w="147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文件名</w:t>
            </w:r>
          </w:p>
        </w:tc>
        <w:tc>
          <w:tcPr>
            <w:tcW w:type="dxa" w:w="419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本地文件名（原始 PDF 不进仓库）</w:t>
            </w:r>
          </w:p>
        </w:tc>
        <w:tc>
          <w:tcPr>
            <w:tcW w:type="dxa" w:w="385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某某公司2025年半年报点评.pdf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类型</w:t>
            </w:r>
          </w:p>
        </w:tc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 / 财报 / 公告</w:t>
            </w:r>
          </w:p>
        </w:tc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</w:t>
            </w:r>
          </w:p>
        </w:tc>
      </w:tr>
      <w:tr>
        <w:tc>
          <w:tcPr>
            <w:tcW w:type="dxa" w:w="147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公司</w:t>
            </w:r>
          </w:p>
        </w:tc>
        <w:tc>
          <w:tcPr>
            <w:tcW w:type="dxa" w:w="419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标的公司或行业</w:t>
            </w:r>
          </w:p>
        </w:tc>
        <w:tc>
          <w:tcPr>
            <w:tcW w:type="dxa" w:w="385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示例公司（000001）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报告期间</w:t>
            </w:r>
          </w:p>
        </w:tc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报告覆盖的期间</w:t>
            </w:r>
          </w:p>
        </w:tc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 年半年度</w:t>
            </w:r>
          </w:p>
        </w:tc>
      </w:tr>
      <w:tr>
        <w:tc>
          <w:tcPr>
            <w:tcW w:type="dxa" w:w="147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来源渠道</w:t>
            </w:r>
          </w:p>
        </w:tc>
        <w:tc>
          <w:tcPr>
            <w:tcW w:type="dxa" w:w="419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取得该文件的渠道与接口</w:t>
            </w:r>
          </w:p>
        </w:tc>
        <w:tc>
          <w:tcPr>
            <w:tcW w:type="dxa" w:w="385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东方财富公开研报接口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获取日期</w:t>
            </w:r>
          </w:p>
        </w:tc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下载日期</w:t>
            </w:r>
          </w:p>
        </w:tc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2026-09-25</w:t>
            </w:r>
          </w:p>
        </w:tc>
      </w:tr>
      <w:tr>
        <w:tc>
          <w:tcPr>
            <w:tcW w:type="dxa" w:w="147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可公开性</w:t>
            </w:r>
          </w:p>
        </w:tc>
        <w:tc>
          <w:tcPr>
            <w:tcW w:type="dxa" w:w="419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可否在提交材料中引用原文或截图</w:t>
            </w:r>
          </w:p>
        </w:tc>
        <w:tc>
          <w:tcPr>
            <w:tcW w:type="dxa" w:w="385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可引用，注明来源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校验值</w:t>
            </w:r>
          </w:p>
        </w:tc>
        <w:tc>
          <w:tcPr>
            <w:tcW w:type="dxa" w:w="419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 sha256，确保评测可复现</w:t>
            </w:r>
          </w:p>
        </w:tc>
        <w:tc>
          <w:tcPr>
            <w:tcW w:type="dxa" w:w="38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（由解析模块自动记录）</w:t>
            </w:r>
          </w:p>
        </w:tc>
      </w:tr>
      <w:tr>
        <w:tc>
          <w:tcPr>
            <w:tcW w:type="dxa" w:w="147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用途</w:t>
            </w:r>
          </w:p>
        </w:tc>
        <w:tc>
          <w:tcPr>
            <w:tcW w:type="dxa" w:w="419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 / 盲测集</w:t>
            </w:r>
          </w:p>
        </w:tc>
        <w:tc>
          <w:tcPr>
            <w:tcW w:type="dxa" w:w="3855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</w:t>
            </w:r>
          </w:p>
        </w:tc>
      </w:tr>
    </w:tbl>
    <w:p>
      <w:pPr>
        <w:pStyle w:val="Heading1"/>
      </w:pPr>
      <w:r>
        <w:t>二、已登记的解析测试样本</w:t>
      </w:r>
    </w:p>
    <w:p>
      <w:pPr>
        <w:pStyle w:val="BCN"/>
      </w:pPr>
      <w:r>
        <w:rPr>
          <w:rFonts w:ascii="宋体" w:hAnsi="宋体" w:eastAsia="宋体"/>
          <w:color w:val="1A1A1A"/>
          <w:sz w:val="21"/>
        </w:rPr>
        <w:t>以下四份材料已用于解析模块的实跑验证，均为公开渠道取得，仅在本机使用，不随代码仓库分发。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3061"/>
        <w:gridCol w:w="907"/>
        <w:gridCol w:w="1247"/>
        <w:gridCol w:w="794"/>
        <w:gridCol w:w="1928"/>
        <w:gridCol w:w="2381"/>
      </w:tblGrid>
      <w:tr>
        <w:tc>
          <w:tcPr>
            <w:tcW w:type="dxa" w:w="907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61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907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247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</w:t>
            </w:r>
          </w:p>
        </w:tc>
        <w:tc>
          <w:tcPr>
            <w:tcW w:type="dxa" w:w="794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页数</w:t>
            </w:r>
          </w:p>
        </w:tc>
        <w:tc>
          <w:tcPr>
            <w:tcW w:type="dxa" w:w="1928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来源渠道</w:t>
            </w:r>
          </w:p>
        </w:tc>
        <w:tc>
          <w:tcPr>
            <w:tcW w:type="dxa" w:w="2381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R-001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华鑫证券_2026年宏观策略.pdf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华鑫证券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134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东方财富公开研报接口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开发集（图表密集、含横向页）</w:t>
            </w:r>
          </w:p>
        </w:tc>
      </w:tr>
      <w:tr>
        <w:tc>
          <w:tcPr>
            <w:tcW w:type="dxa" w:w="90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R-002</w:t>
            </w:r>
          </w:p>
        </w:tc>
        <w:tc>
          <w:tcPr>
            <w:tcW w:type="dxa" w:w="3061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国金证券_2026年流动性展望.pdf</w:t>
            </w:r>
          </w:p>
        </w:tc>
        <w:tc>
          <w:tcPr>
            <w:tcW w:type="dxa" w:w="90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</w:t>
            </w:r>
          </w:p>
        </w:tc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国金证券</w:t>
            </w:r>
          </w:p>
        </w:tc>
        <w:tc>
          <w:tcPr>
            <w:tcW w:type="dxa" w:w="7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24</w:t>
            </w:r>
          </w:p>
        </w:tc>
        <w:tc>
          <w:tcPr>
            <w:tcW w:type="dxa" w:w="19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东方财富公开研报接口</w:t>
            </w:r>
          </w:p>
        </w:tc>
        <w:tc>
          <w:tcPr>
            <w:tcW w:type="dxa" w:w="2381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开发集（双栏排版）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R-003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华安证券_个股深度_LCD_OLED.pdf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华安证券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21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东方财富公开研报接口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开发集（无框财务预测表）</w:t>
            </w:r>
          </w:p>
        </w:tc>
      </w:tr>
      <w:tr>
        <w:tc>
          <w:tcPr>
            <w:tcW w:type="dxa" w:w="90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R-004</w:t>
            </w:r>
          </w:p>
        </w:tc>
        <w:tc>
          <w:tcPr>
            <w:tcW w:type="dxa" w:w="3061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东莞证券_北交所专题报告.pdf</w:t>
            </w:r>
          </w:p>
        </w:tc>
        <w:tc>
          <w:tcPr>
            <w:tcW w:type="dxa" w:w="90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</w:t>
            </w:r>
          </w:p>
        </w:tc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东莞证券</w:t>
            </w:r>
          </w:p>
        </w:tc>
        <w:tc>
          <w:tcPr>
            <w:tcW w:type="dxa" w:w="7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19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东方财富公开研报接口</w:t>
            </w:r>
          </w:p>
        </w:tc>
        <w:tc>
          <w:tcPr>
            <w:tcW w:type="dxa" w:w="2381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开发集（位图表格页）</w:t>
            </w:r>
          </w:p>
        </w:tc>
      </w:tr>
    </w:tbl>
    <w:p>
      <w:pPr>
        <w:pStyle w:val="BCN"/>
      </w:pPr>
      <w:r>
        <w:rPr>
          <w:rFonts w:ascii="宋体" w:hAnsi="宋体" w:eastAsia="宋体"/>
          <w:color w:val="1A1A1A"/>
          <w:sz w:val="21"/>
        </w:rPr>
        <w:t>合计 195 页。当前解析结果：正常 189 页、警告 6 页（均为 OCR 兜底页）、失败 0 页。逐篇的判定原因与修复记录见 pdfparse/docs/real_report_test.md。</w:t>
      </w:r>
    </w:p>
    <w:p>
      <w:pPr>
        <w:pStyle w:val="Heading1"/>
      </w:pPr>
      <w:r>
        <w:t>三、待补：财报与公告来源</w:t>
      </w:r>
    </w:p>
    <w:p>
      <w:pPr>
        <w:pStyle w:val="BCN"/>
      </w:pPr>
      <w:r>
        <w:rPr>
          <w:rFonts w:ascii="宋体" w:hAnsi="宋体" w:eastAsia="宋体"/>
          <w:color w:val="1A1A1A"/>
          <w:sz w:val="21"/>
        </w:rPr>
        <w:t>核查环节还需要研报对应的财报原文（用于数值比对）。这部分来源由 B 与 C 共同确认后补入本目录，要求至少覆盖 R-001 至 R-004 对应的公司，并注明披露日期与公告编号，便于评审核对。</w:t>
      </w:r>
    </w:p>
    <w:p>
      <w:pPr>
        <w:pStyle w:val="Heading1"/>
      </w:pPr>
      <w:r>
        <w:t>四、使用约定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原始 PDF 与本目录分离：PDF 放本地 data/raw 与 data/real（已加入 .gitignore），仓库只保留本目录。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对外提交材料中的原文引用与截图，需在提交前逐条确认来源方条款；拿不准的样本只用于本地验证，不写进提交材料。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评测集划分：本轮四份材料属开发集；盲测集需另行按公司或文档隔离后封存，避免同一内容同时进入开发与盲测。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本目录由 B 维护，E 汇总进评测记录；新增样本请在表二追加一行并写明用途。</w:t>
      </w:r>
    </w:p>
    <w:sectPr w:rsidR="00FC693F" w:rsidRPr="0006063C" w:rsidSect="00034616">
      <w:pgSz w:w="11906" w:h="16838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72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N">
    <w:name w:val="BCN"/>
    <w:pPr>
      <w:spacing w:before="0" w:after="140" w:line="372" w:lineRule="auto"/>
    </w:pPr>
    <w:rPr>
      <w:rFonts w:ascii="宋体" w:hAnsi="宋体" w:eastAsia="宋体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