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000000"/>
          <w:sz w:val="40"/>
        </w:rPr>
        <w:t>B 侧字段映射表</w:t>
      </w:r>
    </w:p>
    <w:p>
      <w:pPr>
        <w:pStyle w:val="BCN"/>
        <w:spacing w:after="260"/>
      </w:pPr>
      <w:r>
        <w:rPr>
          <w:rFonts w:ascii="微软雅黑" w:hAnsi="微软雅黑" w:eastAsia="微软雅黑"/>
          <w:color w:val="444444"/>
          <w:sz w:val="23"/>
        </w:rPr>
        <w:t>研报纠错助手 · PDF 解析模块（成员 B）· 与 A 冻结的统一字段对齐</w:t>
      </w:r>
    </w:p>
    <w:p>
      <w:pPr>
        <w:pStyle w:val="BCN"/>
      </w:pPr>
      <w:r>
        <w:rPr>
          <w:rFonts w:ascii="宋体" w:hAnsi="宋体" w:eastAsia="宋体"/>
          <w:color w:val="1A1A1A"/>
          <w:sz w:val="21"/>
        </w:rPr>
        <w:t>A 于 9 月 23 日冻结的统一字段为：公司、指标、数值、单位、期间、口径、文件及页码。本表说明每个字段由解析结果的哪一层提供、取值方式与边界，供 C（核查逻辑）与 D（前端导出）直接对接。解析模块只提供事实层数据与位置，口径判定属于核查模块的职责，本模块保留原文以供判定。</w:t>
      </w:r>
    </w:p>
    <w:p>
      <w:pPr>
        <w:pStyle w:val="Heading1"/>
      </w:pPr>
      <w:r>
        <w:t>一、字段映射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7"/>
        <w:gridCol w:w="2154"/>
        <w:gridCol w:w="2494"/>
        <w:gridCol w:w="3628"/>
      </w:tblGrid>
      <w:tr>
        <w:tc>
          <w:tcPr>
            <w:tcW w:type="dxa" w:w="1247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统一字段</w:t>
            </w:r>
          </w:p>
        </w:tc>
        <w:tc>
          <w:tcPr>
            <w:tcW w:type="dxa" w:w="2154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取自解析结果的哪一层</w:t>
            </w:r>
          </w:p>
        </w:tc>
        <w:tc>
          <w:tcPr>
            <w:tcW w:type="dxa" w:w="2494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字段路径</w:t>
            </w:r>
          </w:p>
        </w:tc>
        <w:tc>
          <w:tcPr>
            <w:tcW w:type="dxa" w:w="3628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取值方式与边界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公司</w:t>
            </w:r>
          </w:p>
        </w:tc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文档元信息 + 首页标题块</w:t>
            </w:r>
          </w:p>
        </w:tc>
        <w:tc>
          <w:tcPr>
            <w:tcW w:type="dxa" w:w="24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doc.doc_id、blocks[type=heading]（第 1 页）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文件名与首页标题二选一；解析不臆造公司名，取不到就留空由上游补</w:t>
            </w:r>
          </w:p>
        </w:tc>
      </w:tr>
      <w:tr>
        <w:tc>
          <w:tcPr>
            <w:tcW w:type="dxa" w:w="1247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指标</w:t>
            </w:r>
          </w:p>
        </w:tc>
        <w:tc>
          <w:tcPr>
            <w:tcW w:type="dxa" w:w="215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表格单元格首列；正文句子</w:t>
            </w:r>
          </w:p>
        </w:tc>
        <w:tc>
          <w:tcPr>
            <w:tcW w:type="dxa" w:w="249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cells[col=0].text、sentences[].text</w:t>
            </w:r>
          </w:p>
        </w:tc>
        <w:tc>
          <w:tcPr>
            <w:tcW w:type="dxa" w:w="3628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表格取行标签；正文由 C 侧按指标词表匹配，本模块提供句级文本与坐标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数值</w:t>
            </w:r>
          </w:p>
        </w:tc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表格单元格；正文句子</w:t>
            </w:r>
          </w:p>
        </w:tc>
        <w:tc>
          <w:tcPr>
            <w:tcW w:type="dxa" w:w="24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cells[].text、sentences[].text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原样保留千分位、百分号、括号负数与单位后缀，不做数值规整，避免改写失真</w:t>
            </w:r>
          </w:p>
        </w:tc>
      </w:tr>
      <w:tr>
        <w:tc>
          <w:tcPr>
            <w:tcW w:type="dxa" w:w="1247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单位</w:t>
            </w:r>
          </w:p>
        </w:tc>
        <w:tc>
          <w:tcPr>
            <w:tcW w:type="dxa" w:w="215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表头行与单元格文本；图表来源行</w:t>
            </w:r>
          </w:p>
        </w:tc>
        <w:tc>
          <w:tcPr>
            <w:tcW w:type="dxa" w:w="249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cells[row=0].text、caption、source_note</w:t>
            </w:r>
          </w:p>
        </w:tc>
        <w:tc>
          <w:tcPr>
            <w:tcW w:type="dxa" w:w="3628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单位可能出现在表头（如“单位：百万元”）或单元格内（如“8,420 万元”），两种都要查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期间</w:t>
            </w:r>
          </w:p>
        </w:tc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表头行；正文句子中的时间词</w:t>
            </w:r>
          </w:p>
        </w:tc>
        <w:tc>
          <w:tcPr>
            <w:tcW w:type="dxa" w:w="24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cells[row=0].text、sentences[].text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年份与标记（2024A/2025E）原样保留；报告期由 C 侧按需归一</w:t>
            </w:r>
          </w:p>
        </w:tc>
      </w:tr>
      <w:tr>
        <w:tc>
          <w:tcPr>
            <w:tcW w:type="dxa" w:w="1247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口径</w:t>
            </w:r>
          </w:p>
        </w:tc>
        <w:tc>
          <w:tcPr>
            <w:tcW w:type="dxa" w:w="215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不由本模块判定</w:t>
            </w:r>
          </w:p>
        </w:tc>
        <w:tc>
          <w:tcPr>
            <w:tcW w:type="dxa" w:w="249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—（提供 sentences[].text 与 bbox）</w:t>
            </w:r>
          </w:p>
        </w:tc>
        <w:tc>
          <w:tcPr>
            <w:tcW w:type="dxa" w:w="3628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归母／扣非、单季／累计等口径判定属 C 的职责；本模块保证原文与位置可回溯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文件</w:t>
            </w:r>
          </w:p>
        </w:tc>
        <w:tc>
          <w:tcPr>
            <w:tcW w:type="dxa" w:w="21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文档元信息</w:t>
            </w:r>
          </w:p>
        </w:tc>
        <w:tc>
          <w:tcPr>
            <w:tcW w:type="dxa" w:w="249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doc.source_path、doc.sha256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路径为本地相对路径，sha256 用于确认引用的是同一份文件</w:t>
            </w:r>
          </w:p>
        </w:tc>
      </w:tr>
      <w:tr>
        <w:tc>
          <w:tcPr>
            <w:tcW w:type="dxa" w:w="1247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页码</w:t>
            </w:r>
          </w:p>
        </w:tc>
        <w:tc>
          <w:tcPr>
            <w:tcW w:type="dxa" w:w="215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页级与块级</w:t>
            </w:r>
          </w:p>
        </w:tc>
        <w:tc>
          <w:tcPr>
            <w:tcW w:type="dxa" w:w="2494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pages[].page、blocks[].block_id</w:t>
            </w:r>
          </w:p>
        </w:tc>
        <w:tc>
          <w:tcPr>
            <w:tcW w:type="dxa" w:w="3628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页码从 1 开始；block_id 形如 p117_t13，可直接用于定位</w:t>
            </w:r>
          </w:p>
        </w:tc>
      </w:tr>
    </w:tbl>
    <w:p>
      <w:pPr>
        <w:pStyle w:val="Heading1"/>
      </w:pPr>
      <w:r>
        <w:t>二、用于证据展示的附加字段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3628"/>
        <w:gridCol w:w="3969"/>
      </w:tblGrid>
      <w:tr>
        <w:tc>
          <w:tcPr>
            <w:tcW w:type="dxa" w:w="1928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628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969"/>
            <w:vAlign w:val="center"/>
            <w:shd w:val="clear" w:fill="1F38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使用方式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bbox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区块在页面上的矩形坐标（左上原点，单位为点）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前端按渲染缩放换算后画高亮框；高亮不稳定时退化为页码加原文摘录</w:t>
            </w:r>
          </w:p>
        </w:tc>
      </w:tr>
      <w:tr>
        <w:tc>
          <w:tcPr>
            <w:tcW w:type="dxa" w:w="1928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sentences[].bbox</w:t>
            </w:r>
          </w:p>
        </w:tc>
        <w:tc>
          <w:tcPr>
            <w:tcW w:type="dxa" w:w="3628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句子的近似坐标（按行内字符占比切分）</w:t>
            </w:r>
          </w:p>
        </w:tc>
        <w:tc>
          <w:tcPr>
            <w:tcW w:type="dxa" w:w="3969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用于把结论引用到某一句话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cells[].bbox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表格单元格坐标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用于把结论定位到表内具体格子</w:t>
            </w:r>
          </w:p>
        </w:tc>
      </w:tr>
      <w:tr>
        <w:tc>
          <w:tcPr>
            <w:tcW w:type="dxa" w:w="1928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caption / source_note</w:t>
            </w:r>
          </w:p>
        </w:tc>
        <w:tc>
          <w:tcPr>
            <w:tcW w:type="dxa" w:w="3628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图表标题与资料来源</w:t>
            </w:r>
          </w:p>
        </w:tc>
        <w:tc>
          <w:tcPr>
            <w:tcW w:type="dxa" w:w="3969"/>
            <w:vAlign w:val="center"/>
            <w:shd w:val="clear" w:fill="F2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作为证据链的一部分展示来源</w:t>
            </w:r>
          </w:p>
        </w:tc>
      </w:tr>
      <w:tr>
        <w:tc>
          <w:tcPr>
            <w:tcW w:type="dxa" w:w="19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confidence</w:t>
            </w:r>
          </w:p>
        </w:tc>
        <w:tc>
          <w:tcPr>
            <w:tcW w:type="dxa" w:w="36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OCR 文本的平均置信度（仅 OCR 块有）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低于阈值时提示人工核对</w:t>
            </w:r>
          </w:p>
        </w:tc>
      </w:tr>
    </w:tbl>
    <w:p>
      <w:pPr>
        <w:pStyle w:val="Heading1"/>
      </w:pPr>
      <w:r>
        <w:t>三、取值示例</w:t>
      </w:r>
    </w:p>
    <w:p>
      <w:pPr>
        <w:pStyle w:val="BCN"/>
        <w:ind w:left="227"/>
      </w:pPr>
      <w:r>
        <w:rPr>
          <w:rFonts w:ascii="Consolas" w:hAnsi="Consolas" w:eastAsia="Consolas"/>
          <w:color w:val="1A1A1A"/>
          <w:sz w:val="17"/>
        </w:rPr>
        <w:t>{</w:t>
        <w:br/>
        <w:t xml:space="preserve">  "company": "示例公司",            // doc.doc_id / 首页标题</w:t>
        <w:br/>
        <w:t xml:space="preserve">  "metric": "营业收入",             // cells[col=0].text</w:t>
        <w:br/>
        <w:t xml:space="preserve">  "value": "9,986",                 // cells[].text 原样保留</w:t>
        <w:br/>
        <w:t xml:space="preserve">  "unit": "百万元",                 // cells[row=0].text（表头）</w:t>
        <w:br/>
        <w:t xml:space="preserve">  "period": "2025E",                // cells[row=0].text</w:t>
        <w:br/>
        <w:t xml:space="preserve">  "caliber": null,                  // 由 C 判定，本模块不填</w:t>
        <w:br/>
        <w:t xml:space="preserve">  "source": {"file": "data/raw/xxx.pdf", "sha256": "…",</w:t>
        <w:br/>
        <w:t xml:space="preserve">             "page": 12, "block_id": "p12_tb0",</w:t>
        <w:br/>
        <w:t xml:space="preserve">             "bbox": [72.0, 430.0, 523.0, 690.0],</w:t>
        <w:br/>
        <w:t xml:space="preserve">             "cell": {"row": 1, "col": 2}}</w:t>
        <w:br/>
        <w:t>}</w:t>
      </w:r>
    </w:p>
    <w:p>
      <w:pPr>
        <w:pStyle w:val="Heading1"/>
      </w:pPr>
      <w:r>
        <w:t>四、约定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本模块只做事实层：不做单位换算、不做口径判定、不改写数值文本，避免在解析阶段引入不可追溯的加工。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表格引用到单元格（block_id + row + col），正文引用到句子（block_id + sentences 索引），两者都能回链到页面坐标。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字段缺失时的行为：取不到就留空，不猜；页面状态为 fail 的页不参与自动结论。</w:t>
      </w:r>
    </w:p>
    <w:p>
      <w:pPr>
        <w:pStyle w:val="B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字段变更由 A 统一通知，本模块按新字段同步更新本表与数据契约（schemas/parse_result.schema.json）。</w:t>
      </w:r>
    </w:p>
    <w:sectPr w:rsidR="00FC693F" w:rsidRPr="0006063C" w:rsidSect="00034616">
      <w:pgSz w:w="11906" w:h="16838"/>
      <w:pgMar w:top="1247" w:right="1191" w:bottom="124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72" w:lineRule="auto"/>
    </w:pPr>
    <w:rPr>
      <w:rFonts w:ascii="宋体" w:hAnsi="宋体" w:eastAsia="宋体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12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A1A1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CN">
    <w:name w:val="BCN"/>
    <w:pPr>
      <w:spacing w:before="0" w:after="140" w:line="372" w:lineRule="auto"/>
    </w:pPr>
    <w:rPr>
      <w:rFonts w:ascii="宋体" w:hAnsi="宋体" w:eastAsia="宋体"/>
      <w:b w:val="0"/>
      <w:color w:val="1A1A1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