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0"/>
        </w:rPr>
        <w:t>B 模块交付物清单</w:t>
      </w:r>
    </w:p>
    <w:p>
      <w:pPr>
        <w:pStyle w:val="BCN"/>
        <w:spacing w:after="280"/>
      </w:pPr>
      <w:r>
        <w:rPr>
          <w:rFonts w:ascii="微软雅黑" w:hAnsi="微软雅黑" w:eastAsia="微软雅黑"/>
          <w:color w:val="444444"/>
          <w:sz w:val="23"/>
        </w:rPr>
        <w:t>研报纠错助手 · PDF 解析模块（成员 B）</w:t>
      </w:r>
    </w:p>
    <w:p>
      <w:pPr>
        <w:pStyle w:val="BCN"/>
      </w:pPr>
      <w:r>
        <w:rPr>
          <w:rFonts w:ascii="宋体" w:hAnsi="宋体" w:eastAsia="宋体"/>
          <w:color w:val="1A1A1A"/>
          <w:sz w:val="21"/>
        </w:rPr>
        <w:t>这份清单把分工文档里与 B 相关的三处要求逐条拆成可验收的交付物：表 0 的分工条目要求交付“解析模块、字段表与定位数据”；表 2 的验收条件要求“首对 PDF 可完整提取并定位页码，解析失败有清单”；表 4 的最终提交清单里，B 还负责在 10 月 15 日前“提供来源”，由 E 整理成评测记录。下面按交付物、验收标准、当前状态三列对照，缺口与待办写在第五节。</w:t>
      </w:r>
    </w:p>
    <w:p>
      <w:pPr>
        <w:pStyle w:val="Heading1"/>
      </w:pPr>
      <w:r>
        <w:t>一、交付物总表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1701"/>
        <w:gridCol w:w="3061"/>
        <w:gridCol w:w="1928"/>
        <w:gridCol w:w="1134"/>
        <w:gridCol w:w="1361"/>
      </w:tblGrid>
      <w:tr>
        <w:tc>
          <w:tcPr>
            <w:tcW w:type="dxa" w:w="56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06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内容说明</w:t>
            </w:r>
          </w:p>
        </w:tc>
        <w:tc>
          <w:tcPr>
            <w:tcW w:type="dxa" w:w="19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对应要求</w:t>
            </w:r>
          </w:p>
        </w:tc>
        <w:tc>
          <w:tcPr>
            <w:tcW w:type="dxa" w:w="113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截止日期</w:t>
            </w:r>
          </w:p>
        </w:tc>
        <w:tc>
          <w:tcPr>
            <w:tcW w:type="dxa" w:w="136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解析模块（代码）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pdfparse/ 下的完整源码：引擎适配、数据契约、质检、日志、导出、检索、可视化页面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0 个人交付物；表 4 可运行工具与代码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13 日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已完成，待按 A 冻结字段对齐</w:t>
            </w:r>
          </w:p>
        </w:tc>
      </w:tr>
      <w:tr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字段表（B 侧映射）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解析结果到统一字段的映射：公司、指标、数值、单位、期间、口径、文件及页码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0 个人交付物；A 于 9.23 冻结字段表</w:t>
            </w:r>
          </w:p>
        </w:tc>
        <w:tc>
          <w:tcPr>
            <w:tcW w:type="dxa" w:w="113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 月 26 日首版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已完成（docs/B侧字段映射表.docx）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定位数据与高亮能力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每个区块的页码与坐标；表格到单元格、文本到句子；一键生成带框页面图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2 验收：可完整提取并定位页码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 月 26 日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解析失败清单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逐页质量报告与失败页复核队列，含判定原因（乱码率、文字密度、双引擎一致度等）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2 验收：解析失败有清单</w:t>
            </w:r>
          </w:p>
        </w:tc>
        <w:tc>
          <w:tcPr>
            <w:tcW w:type="dxa" w:w="113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 月 26 日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启动与复现说明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REPRODUCE.md、运行命令、依赖锁定、离线复现与自检步骤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4 可运行工具、代码与启动说明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13 日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第三方与合规说明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THIRD_PARTY.md：组件名称、版本、来源、许可证、使用范围；密钥与数据不进仓库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竞赛规则第 5、6 条</w:t>
            </w:r>
          </w:p>
        </w:tc>
        <w:tc>
          <w:tcPr>
            <w:tcW w:type="dxa" w:w="113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13 日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来源目录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解析用到的研报与财报来源清单：文件名、来源渠道、对应公司与期间、可公开性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 4：B 提供来源，E 整理测试（10.15）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15 日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已完成（docs/解析样本来源目录.docx，财报来源待补）</w:t>
            </w:r>
          </w:p>
        </w:tc>
      </w:tr>
      <w:tr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可视化验证页面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上传研报即出结果：指标卡、逐页质量表、证据高亮图、检索与对比、产物下载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支撑表 2 演示与 E 的验收</w:t>
            </w:r>
          </w:p>
        </w:tc>
        <w:tc>
          <w:tcPr>
            <w:tcW w:type="dxa" w:w="113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3 日可用版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模块文档与选型记录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开源方案调研报告、推进方案、真实研报试跑记录、知识库接入说明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支撑项目说明与答辩</w:t>
            </w:r>
          </w:p>
        </w:tc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随时更新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</w:tbl>
    <w:p>
      <w:pPr>
        <w:pStyle w:val="Heading1"/>
      </w:pPr>
      <w:r>
        <w:t>二、验收标准（对应分工文档表 2）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3515"/>
      </w:tblGrid>
      <w:tr>
        <w:tc>
          <w:tcPr>
            <w:tcW w:type="dxa" w:w="260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验收条件（原文）</w:t>
            </w:r>
          </w:p>
        </w:tc>
        <w:tc>
          <w:tcPr>
            <w:tcW w:type="dxa" w:w="36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本模块的对应指标</w:t>
            </w:r>
          </w:p>
        </w:tc>
        <w:tc>
          <w:tcPr>
            <w:tcW w:type="dxa" w:w="351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当前实测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首对 PDF 可完整提取并定位页码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文本与表格抽取完整；每个区块带页码与坐标；可生成带框页面图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四份公开研报 195 页，0 失败页；区块 100% 带坐标</w:t>
            </w:r>
          </w:p>
        </w:tc>
      </w:tr>
      <w:tr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解析失败有清单</w:t>
            </w:r>
          </w:p>
        </w:tc>
        <w:tc>
          <w:tcPr>
            <w:tcW w:type="dxa" w:w="36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逐页状态 ok / warn / fail，附原因；失败页进复核队列</w:t>
            </w:r>
          </w:p>
        </w:tc>
        <w:tc>
          <w:tcPr>
            <w:tcW w:type="dxa" w:w="351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质量报告与复核队列已产出，扫描件判 fail 并提示走 OCR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与冻结字段一致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输出字段覆盖公司、指标、数值、单位、期间、口径、文件及页码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文件与页码已覆盖；其余字段由 C 从结构化结果中提取，需字段表对齐</w:t>
            </w:r>
          </w:p>
        </w:tc>
      </w:tr>
      <w:tr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证据可回溯</w:t>
            </w:r>
          </w:p>
        </w:tc>
        <w:tc>
          <w:tcPr>
            <w:tcW w:type="dxa" w:w="36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结论可定位到文件、页码、区块，必要时精确到句或单元格</w:t>
            </w:r>
          </w:p>
        </w:tc>
        <w:tc>
          <w:tcPr>
            <w:tcW w:type="dxa" w:w="351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支持页码 + 坐标 + 句子坐标 + 单元格坐标四级定位</w:t>
            </w:r>
          </w:p>
        </w:tc>
      </w:tr>
    </w:tbl>
    <w:p>
      <w:pPr>
        <w:pStyle w:val="Heading1"/>
      </w:pPr>
      <w:r>
        <w:t>三、与队友的接口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2608"/>
        <w:gridCol w:w="3061"/>
      </w:tblGrid>
      <w:tr>
        <w:tc>
          <w:tcPr>
            <w:tcW w:type="dxa" w:w="170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对接方</w:t>
            </w:r>
          </w:p>
        </w:tc>
        <w:tc>
          <w:tcPr>
            <w:tcW w:type="dxa" w:w="238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我提供什么</w:t>
            </w:r>
          </w:p>
        </w:tc>
        <w:tc>
          <w:tcPr>
            <w:tcW w:type="dxa" w:w="260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06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A（产品与统筹）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字段表、启动说明、进度与风险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文档 + 表格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字段变更由 A 统一通知，改动同步看板</w:t>
            </w:r>
          </w:p>
        </w:tc>
      </w:tr>
      <w:tr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C（核查逻辑）</w:t>
            </w:r>
          </w:p>
        </w:tc>
        <w:tc>
          <w:tcPr>
            <w:tcW w:type="dxa" w:w="238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页级块级解析结果与质量报告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parse_result.json、blocks.jsonl、quality_table.csv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只引用 ok / warn 页；引用必须带页码与坐标；表格到单元格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D（前端与导出）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原文高亮参数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页码、坐标、页面尺寸（左上原点，单位为点）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按渲染缩放换算；高亮不稳定时退化为页码加原文摘录</w:t>
            </w:r>
          </w:p>
        </w:tc>
      </w:tr>
      <w:tr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E（测试与交付）</w:t>
            </w:r>
          </w:p>
        </w:tc>
        <w:tc>
          <w:tcPr>
            <w:tcW w:type="dxa" w:w="238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来源目录、失败清单、可复现命令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 + REPRODUCE.md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来源与授权说明由 B 提供、E 整理</w:t>
            </w:r>
          </w:p>
        </w:tc>
      </w:tr>
    </w:tbl>
    <w:p>
      <w:pPr>
        <w:pStyle w:val="Heading1"/>
      </w:pPr>
      <w:r>
        <w:t>四、时间节点（对应分工文档表 1 与表 4）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3402"/>
        <w:gridCol w:w="2268"/>
      </w:tblGrid>
      <w:tr>
        <w:tc>
          <w:tcPr>
            <w:tcW w:type="dxa" w:w="147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60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阶段交付</w:t>
            </w:r>
          </w:p>
        </w:tc>
        <w:tc>
          <w:tcPr>
            <w:tcW w:type="dxa" w:w="340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 的具体动作</w:t>
            </w:r>
          </w:p>
        </w:tc>
        <w:tc>
          <w:tcPr>
            <w:tcW w:type="dxa" w:w="226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 月 26 日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各模块首版完成，开始换真实数据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解析模块首版：抽取、页码坐标、失败清单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已完成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3 日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首个从上传到查看的可用版本</w:t>
            </w:r>
          </w:p>
        </w:tc>
        <w:tc>
          <w:tcPr>
            <w:tcW w:type="dxa" w:w="340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解析真实 PDF、可视化页面可用、与 C 对齐字段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解析与页面已完成，字段待对齐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9 日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完整操作流程可独立演示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处理异常 PDF（加密、扫描、损坏页）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扫描件已覆盖，其余待抽样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13 日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功能完整工程版本</w:t>
            </w:r>
          </w:p>
        </w:tc>
        <w:tc>
          <w:tcPr>
            <w:tcW w:type="dxa" w:w="340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冻结代码、补齐启动说明与第三方清单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待办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 月 15 日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来源目录、标注样例与评测记录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提供研报与财报的来源清单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研报来源已登记，财报来源待与 C 确认</w:t>
            </w:r>
          </w:p>
        </w:tc>
      </w:tr>
    </w:tbl>
    <w:p>
      <w:pPr>
        <w:pStyle w:val="Heading1"/>
      </w:pPr>
      <w:r>
        <w:t>五、缺口与待办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字段表已完成（docs/B侧字段映射表.docx）：明确每个统一字段取自解析结果的哪一层、取值方式与边界，并写清本模块只做事实层、不做单位换算与口径判定。请 A、C 复核后确认冻结。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来源目录已完成（docs/解析样本来源目录.docx）：四份研报来源已登记；财报与公告来源需与 C 确认后补入，10 月 15 日前交 E。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失败清单已固化：</w:t>
      </w:r>
      <w:r>
        <w:rPr>
          <w:rFonts w:ascii="宋体" w:hAnsi="宋体" w:eastAsia="宋体"/>
          <w:color w:val="1A1A1A"/>
          <w:sz w:val="21"/>
        </w:rPr>
        <w:t>`report` 命令除质量汇总外，还会在原目录导出 failure_list.csv（文档、页码、状态、原因、建议动作），E 可直接作为测试记录引用。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异常文件覆盖：</w:t>
      </w:r>
      <w:r>
        <w:rPr>
          <w:rFonts w:ascii="宋体" w:hAnsi="宋体" w:eastAsia="宋体"/>
          <w:color w:val="1A1A1A"/>
          <w:sz w:val="21"/>
        </w:rPr>
        <w:t>加密 PDF、损坏文件、超大文件的处理方式需要补测并写进启动说明，这是 10 月 9 日“异常 PDF”那项的具体落点。</w:t>
      </w:r>
    </w:p>
    <w:p>
      <w:pPr>
        <w:pStyle w:val="Heading1"/>
      </w:pPr>
      <w:r>
        <w:t>六、风险与降级方案（对应分工文档“进度不足时的取舍”）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649"/>
      </w:tblGrid>
      <w:tr>
        <w:tc>
          <w:tcPr>
            <w:tcW w:type="dxa" w:w="226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3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649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降级方案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 高亮不稳定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演示时定位不清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按分工文档约定，退化为“页码 + 原文摘录”，坐标与页面图作为增强项</w:t>
            </w:r>
          </w:p>
        </w:tc>
      </w:tr>
      <w:tr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复杂版式（无框表格、双栏、图表文字）</w:t>
            </w:r>
          </w:p>
        </w:tc>
        <w:tc>
          <w:tcPr>
            <w:tcW w:type="dxa" w:w="283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表格结构或阅读顺序不精确</w:t>
            </w:r>
          </w:p>
        </w:tc>
        <w:tc>
          <w:tcPr>
            <w:tcW w:type="dxa" w:w="4649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表格默认只展开线框结构，无框表用 hybrid 策略按需开启；顺序问题如实标注为已知边界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扫描件占比高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文本层缺失导致不可用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已接入 OCR 兜底；仍不达标时按失败页处理并提示人工核对</w:t>
            </w:r>
          </w:p>
        </w:tc>
      </w:tr>
      <w:tr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模型端点不可用</w:t>
            </w:r>
          </w:p>
        </w:tc>
        <w:tc>
          <w:tcPr>
            <w:tcW w:type="dxa" w:w="283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视觉模型抽检与知识库语义检索不可用</w:t>
            </w:r>
          </w:p>
        </w:tc>
        <w:tc>
          <w:tcPr>
            <w:tcW w:type="dxa" w:w="4649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抽检可关闭，主流程不受影响；知识库退回内置离线检索（BM25 + 回链）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72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12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N">
    <w:name w:val="BCN"/>
    <w:pPr>
      <w:spacing w:before="0" w:after="140" w:line="372" w:lineRule="auto"/>
    </w:pPr>
    <w:rPr>
      <w:rFonts w:ascii="宋体" w:hAnsi="宋体" w:eastAsia="宋体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