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000000"/>
          <w:sz w:val="42"/>
        </w:rPr>
        <w:t>PDF 解析模块推进方案</w:t>
      </w:r>
    </w:p>
    <w:p>
      <w:pPr>
        <w:pStyle w:val="BodyTextCN"/>
        <w:spacing w:after="280"/>
      </w:pPr>
      <w:r>
        <w:rPr>
          <w:rFonts w:ascii="微软雅黑" w:hAnsi="微软雅黑" w:eastAsia="微软雅黑"/>
          <w:color w:val="444444"/>
          <w:sz w:val="23"/>
        </w:rPr>
        <w:t>对齐竞赛交付要求的工作主线、交付物清单与时间安排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竞赛规则里有三条直接压在解析模块身上：运行环境封闭或半封闭且全过程留痕，交付与展示版本一致的完整源码和依赖，第三方成果必须逐项登记来源、版本与许可证。这意味着解析模块不能停在“能跑出结果”这一步，必须同时满足可核验、可追溯、可复现。这份方案把要求翻译成具体的交付物和检查点，并给出三周的推进顺序，供组会和答辩使用。</w:t>
      </w:r>
    </w:p>
    <w:p>
      <w:pPr>
        <w:pStyle w:val="Heading1"/>
      </w:pPr>
      <w:r>
        <w:t>一、推进主线</w:t>
      </w:r>
    </w:p>
    <w:p>
      <w:pPr>
        <w:pStyle w:val="BodyTextCN"/>
      </w:pPr>
      <w:r>
        <w:rPr>
          <w:rFonts w:ascii="宋体" w:hAnsi="宋体" w:eastAsia="宋体"/>
          <w:b/>
          <w:color w:val="1A1A1A"/>
          <w:sz w:val="21"/>
        </w:rPr>
        <w:t>先定契约与合规，再写流水线，最后打包。</w:t>
      </w:r>
      <w:r>
        <w:rPr>
          <w:rFonts w:ascii="宋体" w:hAnsi="宋体" w:eastAsia="宋体"/>
          <w:color w:val="1A1A1A"/>
          <w:sz w:val="21"/>
        </w:rPr>
        <w:t>下一步不是先写解析代码，而是先定契约和合规边界，再做流水线，最后统一打包。顺序颠倒会把返工集中在最后一周，而交付物本身是评分项，不能靠临时拼凑。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第一优先：</w:t>
      </w:r>
      <w:r>
        <w:rPr>
          <w:rFonts w:ascii="宋体" w:hAnsi="宋体" w:eastAsia="宋体"/>
          <w:color w:val="1A1A1A"/>
          <w:sz w:val="21"/>
        </w:rPr>
        <w:t>把数据契约定下来。页码与坐标是必填字段，还要加上引擎、版本、参数、模型哈希这些溯源信息。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第二优先：</w:t>
      </w:r>
      <w:r>
        <w:rPr>
          <w:rFonts w:ascii="宋体" w:hAnsi="宋体" w:eastAsia="宋体"/>
          <w:color w:val="1A1A1A"/>
          <w:sz w:val="21"/>
        </w:rPr>
        <w:t>把链路全本地化。任何把研报发给外部接口的做法都不符合封闭环境要求，包括商业解析服务和在线模型接口。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第三优先：</w:t>
      </w:r>
      <w:r>
        <w:rPr>
          <w:rFonts w:ascii="宋体" w:hAnsi="宋体" w:eastAsia="宋体"/>
          <w:color w:val="1A1A1A"/>
          <w:sz w:val="21"/>
        </w:rPr>
        <w:t>把留痕做成机制。文件访问、工具调用、计算过程、结果生成四类记录在流水线里自动产生，而不是事后补写。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第四优先：</w:t>
      </w:r>
      <w:r>
        <w:rPr>
          <w:rFonts w:ascii="宋体" w:hAnsi="宋体" w:eastAsia="宋体"/>
          <w:color w:val="1A1A1A"/>
          <w:sz w:val="21"/>
        </w:rPr>
        <w:t>把交付物当成产品。源码、依赖、运行说明、第三方清单、评测报告，缺一项就是一个失分点。</w:t>
      </w:r>
    </w:p>
    <w:p>
      <w:pPr>
        <w:pStyle w:val="Heading1"/>
      </w:pPr>
      <w:r>
        <w:t>二、竞赛条款对解析模块的硬约束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把六条要求逐条落到解析模块，需要交的东西其实很明确。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4082"/>
        <w:gridCol w:w="2948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竞赛条款</w:t>
            </w:r>
          </w:p>
        </w:tc>
        <w:tc>
          <w:tcPr>
            <w:tcW w:type="dxa" w:w="408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对解析模块的具体要求</w:t>
            </w:r>
          </w:p>
        </w:tc>
        <w:tc>
          <w:tcPr>
            <w:tcW w:type="dxa" w:w="294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需要交付的东西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至少一个大模型做核心推理，鼓励国产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解析环节可承担页面理解与表格语义校验，用国产视觉语言模型本地推理，如 MinerU 内置视觉模型、PaddleOCR-VL、DeepSeek-OCR、Qwen 视觉系列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模型调用封装、权重离线下载脚本、调用说明与版本登记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成果须为结构化数据、表格或分析报告</w:t>
            </w:r>
          </w:p>
        </w:tc>
        <w:tc>
          <w:tcPr>
            <w:tcW w:type="dxa" w:w="408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所有输出必须落成 JSON、表格或报告，模型输出也要转成结构化字段，不能只留对话</w:t>
            </w:r>
          </w:p>
        </w:tc>
        <w:tc>
          <w:tcPr>
            <w:tcW w:type="dxa" w:w="294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解析结果 JSON 契约、质量报告模板、可导出表格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封闭环境运行，完整记录访问与调用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全本地链路，禁用外部接口；解析过程产生访问、调用、计算、结果四类记录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日志规范、记录中间件、运行清单 manifest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提交与展示一致的源码、依赖与运行说明</w:t>
            </w:r>
          </w:p>
        </w:tc>
        <w:tc>
          <w:tcPr>
            <w:tcW w:type="dxa" w:w="408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解析模块要能被评审单独复现，一条命令跑通输入到输出</w:t>
            </w:r>
          </w:p>
        </w:tc>
        <w:tc>
          <w:tcPr>
            <w:tcW w:type="dxa" w:w="294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REPRODUCE.md、依赖锁定文件、容器或环境快照</w:t>
            </w:r>
          </w:p>
        </w:tc>
      </w:tr>
      <w:tr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第三方权重与商业软件可不交源码，须说明名称版本调用方式使用范围</w:t>
            </w:r>
          </w:p>
        </w:tc>
        <w:tc>
          <w:tcPr>
            <w:tcW w:type="dxa" w:w="408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模型权重不进代码仓库，用脚本按固定版本下载并校验哈希</w:t>
            </w:r>
          </w:p>
        </w:tc>
        <w:tc>
          <w:tcPr>
            <w:tcW w:type="dxa" w:w="29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THIRD_PARTY.md 中的权重条目、下载与校验脚本</w:t>
            </w:r>
          </w:p>
        </w:tc>
      </w:tr>
      <w:tr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第三方开源项目须列明名称版本来源许可证与使用范围</w:t>
            </w:r>
          </w:p>
        </w:tc>
        <w:tc>
          <w:tcPr>
            <w:tcW w:type="dxa" w:w="408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逐项登记解析链路用到的每个开源项目，并标注许可证义务</w:t>
            </w:r>
          </w:p>
        </w:tc>
        <w:tc>
          <w:tcPr>
            <w:tcW w:type="dxa" w:w="294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THIRD_PARTY.md、许可证合规自检清单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另外，作品设计要求里的“区分事实、推论与观点”和解析直接相关：解析结果属于事实层，必须能精确指回原文位置；模型对内容的判断属于推论层，要单独标注，不能混在解析文本里。解析模块的定位可以概括为：为后端的核查与推理提供带位置、带质量标记的证据原料。</w:t>
      </w:r>
    </w:p>
    <w:p>
      <w:pPr>
        <w:pStyle w:val="Heading1"/>
      </w:pPr>
      <w:r>
        <w:t>三、五步推进计划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077"/>
        <w:gridCol w:w="3572"/>
        <w:gridCol w:w="2494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107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57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要做的事</w:t>
            </w:r>
          </w:p>
        </w:tc>
        <w:tc>
          <w:tcPr>
            <w:tcW w:type="dxa" w:w="249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产出与验收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第一步 锁定本地化与合规边界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 1 到 2 天</w:t>
            </w:r>
          </w:p>
        </w:tc>
        <w:tc>
          <w:tcPr>
            <w:tcW w:type="dxa" w:w="35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确认现场机器、网络与 GPU 条件；把所选引擎的权重与依赖全量离线下载并校验哈希；在配置里显式关闭一切外部接口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《运行环境与合规说明》+ 断网可跑通的验证记录</w:t>
            </w:r>
          </w:p>
        </w:tc>
      </w:tr>
      <w:tr>
        <w:tc>
          <w:tcPr>
            <w:tcW w:type="dxa" w:w="181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第二步 定义可追溯数据契约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 2 到 4 天</w:t>
            </w:r>
          </w:p>
        </w:tc>
        <w:tc>
          <w:tcPr>
            <w:tcW w:type="dxa" w:w="357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确定页级与块级字段，页码和坐标设为必填；加入引擎、版本、参数、模型哈希、运行编号；约定坐标系与单位</w:t>
            </w:r>
          </w:p>
        </w:tc>
        <w:tc>
          <w:tcPr>
            <w:tcW w:type="dxa" w:w="24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JSON Schema、数据类定义、含正反例的样例文件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第三步 搭建解析流水线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 3 到 6 天</w:t>
            </w:r>
          </w:p>
        </w:tc>
        <w:tc>
          <w:tcPr>
            <w:tcW w:type="dxa" w:w="35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主引擎跑版面与表格，轻量引擎读原生文本层做对照，扫描件走视觉模型分支，跨页表格按表头与列结构合并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解析服务、命令行入口、单篇解析报告</w:t>
            </w:r>
          </w:p>
        </w:tc>
      </w:tr>
      <w:tr>
        <w:tc>
          <w:tcPr>
            <w:tcW w:type="dxa" w:w="181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第四步 实现失败识别与质量分</w:t>
            </w:r>
          </w:p>
        </w:tc>
        <w:tc>
          <w:tcPr>
            <w:tcW w:type="dxa" w:w="107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 5 到 8 天</w:t>
            </w:r>
          </w:p>
        </w:tc>
        <w:tc>
          <w:tcPr>
            <w:tcW w:type="dxa" w:w="357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落地确定性检查、双引擎交叉校验、视觉抽检三层机制，输出页面状态与原因，失败页进入复核队列</w:t>
            </w:r>
          </w:p>
        </w:tc>
        <w:tc>
          <w:tcPr>
            <w:tcW w:type="dxa" w:w="249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质量分模块、质量报告、失败样例集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第五步 日志、复现与交付打包</w:t>
            </w:r>
          </w:p>
        </w:tc>
        <w:tc>
          <w:tcPr>
            <w:tcW w:type="dxa" w:w="107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 7 到 12 天</w:t>
            </w:r>
          </w:p>
        </w:tc>
        <w:tc>
          <w:tcPr>
            <w:tcW w:type="dxa" w:w="35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接入四类结构化日志与运行清单，固化依赖，写运行说明与第三方清单，在自建小测试集上跑评测</w:t>
            </w:r>
          </w:p>
        </w:tc>
        <w:tc>
          <w:tcPr>
            <w:tcW w:type="dxa" w:w="249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日志与 manifest、REPRODUCE.md、THIRD_PARTY.md、评测报告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第一步里的断网验证容易被忽略，但它是最省事的自证方式：拔掉网线还能完整跑通一篇研报，封闭环境这条要求就直接满足了。注意部分解析引擎首次运行会联网拉取权重，必须提前离线化。</w:t>
      </w:r>
    </w:p>
    <w:p>
      <w:pPr>
        <w:pStyle w:val="Heading1"/>
      </w:pPr>
      <w:r>
        <w:t>四、可追溯的数据契约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这是整个模块的核心交付物，建议直接写成 JSON Schema 并用数据类做校验。字段设计围绕两件事：能不能指回原文，以及能不能复现这一次解析。</w:t>
      </w:r>
    </w:p>
    <w:p>
      <w:pPr>
        <w:spacing w:before="80" w:after="160" w:line="269" w:lineRule="auto"/>
        <w:ind w:left="227"/>
      </w:pPr>
      <w:r>
        <w:rPr>
          <w:rFonts w:ascii="Consolas" w:hAnsi="Consolas" w:eastAsia="Consolas"/>
          <w:color w:val="222222"/>
          <w:sz w:val="17"/>
        </w:rPr>
        <w:t>{</w:t>
        <w:br/>
        <w:t xml:space="preserve">  "run_id": "20260924T1030Z_7f3a91",</w:t>
        <w:br/>
        <w:t xml:space="preserve">  "doc": {"doc_id": "600XXX_2025H1",</w:t>
        <w:br/>
        <w:t xml:space="preserve">          "source_path": "data/raw/600XXX_2025H1.pdf",</w:t>
        <w:br/>
        <w:t xml:space="preserve">          "sha256": "...", "total_pages": 42},</w:t>
        <w:br/>
        <w:t xml:space="preserve">  "engine": {"name": "mineru", "version": "4.0.2",</w:t>
        <w:br/>
        <w:t xml:space="preserve">             "strategy": "advanced", "model": "MinerU2.5-VLM",</w:t>
        <w:br/>
        <w:t xml:space="preserve">             "model_sha256": "...", "params": {"lang": "ch"},</w:t>
        <w:br/>
        <w:t xml:space="preserve">             "started_at": "2026-09-24T10:30:12+08:00",</w:t>
        <w:br/>
        <w:t xml:space="preserve">             "duration_s": 18.4},</w:t>
        <w:br/>
        <w:t xml:space="preserve">  "pages": [</w:t>
        <w:br/>
        <w:t xml:space="preserve">    {"page": 12, "page_size": [595.0, 842.0], "status": "ok",</w:t>
        <w:br/>
        <w:t xml:space="preserve">     "quality": {"text_coverage": 0.94, "garbled_ratio": 0.0007,</w:t>
        <w:br/>
        <w:t xml:space="preserve">                 "engine_agreement": 0.97},</w:t>
        <w:br/>
        <w:t xml:space="preserve">     "blocks": [</w:t>
        <w:br/>
        <w:t xml:space="preserve">       {"block_id": "p12_b3", "type": "text", "order": 3,</w:t>
        <w:br/>
        <w:t xml:space="preserve">        "bbox": [72.0, 310.5, 523.0, 402.8],</w:t>
        <w:br/>
        <w:t xml:space="preserve">        "text": "公司 2025 年上半年营业收入同比增长 18.6%..."},</w:t>
        <w:br/>
        <w:t xml:space="preserve">       {"block_id": "p12_t1", "type": "table",</w:t>
        <w:br/>
        <w:t xml:space="preserve">        "bbox": [72.0, 430.0, 523.0, 690.0],</w:t>
        <w:br/>
        <w:t xml:space="preserve">        "caption": "表 3 主要财务指标", "source_note": "公司半年报",</w:t>
        <w:br/>
        <w:t xml:space="preserve">        "cells": [{"row": 0, "col": 0, "text": "指标",</w:t>
        <w:br/>
        <w:t xml:space="preserve">                    "bbox": [72.0, 430.0, 180.0, 452.0]}]}</w:t>
        <w:br/>
        <w:t xml:space="preserve">     ]}</w:t>
        <w:br/>
        <w:t xml:space="preserve">  ],</w:t>
        <w:br/>
        <w:t xml:space="preserve">  "quality_report": {"status": "warn", "failed_pages": [17],</w:t>
        <w:br/>
        <w:t xml:space="preserve">                     "reasons": {"17": ["text_coverage=0.21"]}}</w:t>
        <w:br/>
        <w:t>}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run_id：</w:t>
      </w:r>
      <w:r>
        <w:rPr>
          <w:rFonts w:ascii="宋体" w:hAnsi="宋体" w:eastAsia="宋体"/>
          <w:color w:val="1A1A1A"/>
          <w:sz w:val="21"/>
        </w:rPr>
        <w:t>一次解析的唯一编号，日志、产物、报告共用，是追溯的索引键。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engine 区块：</w:t>
      </w:r>
      <w:r>
        <w:rPr>
          <w:rFonts w:ascii="宋体" w:hAnsi="宋体" w:eastAsia="宋体"/>
          <w:color w:val="1A1A1A"/>
          <w:sz w:val="21"/>
        </w:rPr>
        <w:t>引擎名、版本、档位、模型名与权重哈希、参数、起始时间与耗时，复现时需要逐项对齐。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page_size 与 bbox：</w:t>
      </w:r>
      <w:r>
        <w:rPr>
          <w:rFonts w:ascii="宋体" w:hAnsi="宋体" w:eastAsia="宋体"/>
          <w:color w:val="1A1A1A"/>
          <w:sz w:val="21"/>
        </w:rPr>
        <w:t>单位为点（1/72 英寸），原点在页面左上角，与 pdfplumber 的口径一致；前端高亮按渲染缩放比换算。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status 与 quality：</w:t>
      </w:r>
      <w:r>
        <w:rPr>
          <w:rFonts w:ascii="宋体" w:hAnsi="宋体" w:eastAsia="宋体"/>
          <w:color w:val="1A1A1A"/>
          <w:sz w:val="21"/>
        </w:rPr>
        <w:t>失败识别的载体，页级给出状态与三项指标，块级默认继承页面状态。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source_note：</w:t>
      </w:r>
      <w:r>
        <w:rPr>
          <w:rFonts w:ascii="宋体" w:hAnsi="宋体" w:eastAsia="宋体"/>
          <w:color w:val="1A1A1A"/>
          <w:sz w:val="21"/>
        </w:rPr>
        <w:t>保留研报里标注的数据来源，核查时可以区分原始出处与分析结论，呼应事实与推论的区分要求。</w:t>
      </w:r>
    </w:p>
    <w:p>
      <w:pPr>
        <w:pStyle w:val="Heading1"/>
      </w:pPr>
      <w:r>
        <w:t>五、日志与可复现机制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追溯要求靠四类结构化日志加一份运行清单实现，全部写在流水线内部，自动产生、按行追加、可直接被审计。建议统一用 JSON Lines，字段固定，便于评审用脚本核对。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3855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日志类型</w:t>
            </w:r>
          </w:p>
        </w:tc>
        <w:tc>
          <w:tcPr>
            <w:tcW w:type="dxa" w:w="306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记录内容</w:t>
            </w:r>
          </w:p>
        </w:tc>
        <w:tc>
          <w:tcPr>
            <w:tcW w:type="dxa" w:w="3855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示例字段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文件访问 access.jsonl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每一次读写文件的动作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时间、动作、路径、哈希、触发者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工具调用 tools.jsonl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每一次解析器或模型调用</w:t>
            </w:r>
          </w:p>
        </w:tc>
        <w:tc>
          <w:tcPr>
            <w:tcW w:type="dxa" w:w="385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时间、工具名、版本、参数、退出码、耗时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计算过程 compute.jsonl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每一次指标计算与规则判定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时间、操作名、输入、阈值、结果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结果生成 results.jsonl</w:t>
            </w:r>
          </w:p>
        </w:tc>
        <w:tc>
          <w:tcPr>
            <w:tcW w:type="dxa" w:w="306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每一次产物落盘</w:t>
            </w:r>
          </w:p>
        </w:tc>
        <w:tc>
          <w:tcPr>
            <w:tcW w:type="dxa" w:w="3855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时间、产物路径、行数、哈希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运行清单 manifest.json</w:t>
            </w:r>
          </w:p>
        </w:tc>
        <w:tc>
          <w:tcPr>
            <w:tcW w:type="dxa" w:w="306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一次运行的环境与版本快照</w:t>
            </w:r>
          </w:p>
        </w:tc>
        <w:tc>
          <w:tcPr>
            <w:tcW w:type="dxa" w:w="38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代码提交号、依赖锁文件哈希、模型权重哈希、镜像摘要、机器规格、随机种子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复现入口建议做成两条命令：解析命令按用例生成产物与日志，校验命令比对上次产物的哈希，一致即通过。现场演示时跑的就是同一条命令，这样“展示版本与提交源码一致”这条要求可以当场证明。</w:t>
      </w:r>
    </w:p>
    <w:p>
      <w:pPr>
        <w:spacing w:before="80" w:after="160" w:line="269" w:lineRule="auto"/>
        <w:ind w:left="227"/>
      </w:pPr>
      <w:r>
        <w:rPr>
          <w:rFonts w:ascii="Consolas" w:hAnsi="Consolas" w:eastAsia="Consolas"/>
          <w:color w:val="222222"/>
          <w:sz w:val="17"/>
        </w:rPr>
        <w:t>make parse CASE=600XXX_2025H1      # 产出 out/ 与 logs/</w:t>
        <w:br/>
        <w:t>make verify CASE=600XXX_2025H1     # 比对产物 sha256，一致则通过</w:t>
        <w:br/>
        <w:t>make report CASE=600XXX_2025H1     # 生成解析质量报告（表格形式）</w:t>
      </w:r>
    </w:p>
    <w:p>
      <w:pPr>
        <w:pStyle w:val="Heading1"/>
      </w:pPr>
      <w:r>
        <w:t>六、解析失败的判定与输出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失败通常以沉默的方式出现，所以要有明确阈值。建议按下列指标逐页打分，先用保守阈值保证不漏报，再用测试集调参降低误报。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4649"/>
        <w:gridCol w:w="2268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4649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建议阈值</w:t>
            </w:r>
          </w:p>
        </w:tc>
        <w:tc>
          <w:tcPr>
            <w:tcW w:type="dxa" w:w="226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页码与坐标完整性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任一区块缺少页码或边界框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失败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页数一致性</w:t>
            </w:r>
          </w:p>
        </w:tc>
        <w:tc>
          <w:tcPr>
            <w:tcW w:type="dxa" w:w="4649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解析页数不等于原始 PDF 页数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失败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乱码率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替换字符与异常编码占比高于百分之一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失败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正文密度</w:t>
            </w:r>
          </w:p>
        </w:tc>
        <w:tc>
          <w:tcPr>
            <w:tcW w:type="dxa" w:w="4649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带文本层页面低于每千平方点两百字符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警告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双引擎一致性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归一化相似度低于零点八五（低于零点六判失败）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警告</w:t>
            </w:r>
          </w:p>
        </w:tc>
      </w:tr>
      <w:tr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表格结构</w:t>
            </w:r>
          </w:p>
        </w:tc>
        <w:tc>
          <w:tcPr>
            <w:tcW w:type="dxa" w:w="4649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同一张表内列数不一致或单元格大面积空缺</w:t>
            </w:r>
          </w:p>
        </w:tc>
        <w:tc>
          <w:tcPr>
            <w:tcW w:type="dxa" w:w="226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警告</w:t>
            </w:r>
          </w:p>
        </w:tc>
      </w:tr>
      <w:tr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阅读顺序</w:t>
            </w:r>
          </w:p>
        </w:tc>
        <w:tc>
          <w:tcPr>
            <w:tcW w:type="dxa" w:w="4649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块顺序与坐标顺序冲突，或标题层级异常跳变</w:t>
            </w:r>
          </w:p>
        </w:tc>
        <w:tc>
          <w:tcPr>
            <w:tcW w:type="dxa" w:w="22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警告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判定结果汇总成质量报告，包含每页状态、原因、失败页清单与整体统计，报告本身是表格形式，可以直接放进最终分析报告。失败页导出页面图与两套解析文本对照，进人工复核队列，人工复核结论再回流成测试样本。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下游使用规则要在接口里写死：核查与推理只允许引用状态为正常或警告的页面，失败页只提示解析异常。这条规则既避免解析错误被放大成业务误判，也正好体现作品设计要求的风险审慎。</w:t>
      </w:r>
    </w:p>
    <w:p>
      <w:pPr>
        <w:pStyle w:val="Heading1"/>
      </w:pPr>
      <w:r>
        <w:t>七、第三方使用登记表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按规则六逐项登记，版本号在打包时用实际安装版本回填。权重与商业软件不提交，但必须写明名称、版本、调用方式与使用范围，并提供离线下载与哈希校验脚本。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964"/>
        <w:gridCol w:w="1984"/>
        <w:gridCol w:w="1417"/>
        <w:gridCol w:w="1928"/>
        <w:gridCol w:w="1417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96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98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141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许可证</w:t>
            </w:r>
          </w:p>
        </w:tc>
        <w:tc>
          <w:tcPr>
            <w:tcW w:type="dxa" w:w="192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使用范围</w:t>
            </w:r>
          </w:p>
        </w:tc>
        <w:tc>
          <w:tcPr>
            <w:tcW w:type="dxa" w:w="1417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提交方式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MinerU</w:t>
            </w:r>
          </w:p>
        </w:tc>
        <w:tc>
          <w:tcPr>
            <w:tcW w:type="dxa" w:w="9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4.0.x</w:t>
            </w:r>
          </w:p>
        </w:tc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opendatalab/MinerU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 附加条款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本地解析主引擎（版面、表格、公式）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提交调用代码，不提交权重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MinerU 视觉模型权重</w:t>
            </w:r>
          </w:p>
        </w:tc>
        <w:tc>
          <w:tcPr>
            <w:tcW w:type="dxa" w:w="96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按模型卡片</w:t>
            </w:r>
          </w:p>
        </w:tc>
        <w:tc>
          <w:tcPr>
            <w:tcW w:type="dxa" w:w="198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HuggingFace 或 ModelScope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以模型卡片为准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版面理解与 OCR 推理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提供离线下载与哈希校验脚本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Docling</w:t>
            </w:r>
          </w:p>
        </w:tc>
        <w:tc>
          <w:tcPr>
            <w:tcW w:type="dxa" w:w="9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2.x</w:t>
            </w:r>
          </w:p>
        </w:tc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docling-project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备选主引擎与交叉校验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依赖声明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PaddleOCR 结构解析</w:t>
            </w:r>
          </w:p>
        </w:tc>
        <w:tc>
          <w:tcPr>
            <w:tcW w:type="dxa" w:w="96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3.x</w:t>
            </w:r>
          </w:p>
        </w:tc>
        <w:tc>
          <w:tcPr>
            <w:tcW w:type="dxa" w:w="198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PaddlePaddle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表格单元格与扫描件增强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提交调用代码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PyMuPDF</w:t>
            </w:r>
          </w:p>
        </w:tc>
        <w:tc>
          <w:tcPr>
            <w:tcW w:type="dxa" w:w="9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1.2x</w:t>
            </w:r>
          </w:p>
        </w:tc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官方仓库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AGPL-3.0 双许可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原生文本层对照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仅作对照；若需规避许可义务可改用 pdfplumber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pdfplumber</w:t>
            </w:r>
          </w:p>
        </w:tc>
        <w:tc>
          <w:tcPr>
            <w:tcW w:type="dxa" w:w="96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0.11.x</w:t>
            </w:r>
          </w:p>
        </w:tc>
        <w:tc>
          <w:tcPr>
            <w:tcW w:type="dxa" w:w="198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jsvine/pdfplumber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MIT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轻量文本与表格抽取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依赖声明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OpenViking</w:t>
            </w:r>
          </w:p>
        </w:tc>
        <w:tc>
          <w:tcPr>
            <w:tcW w:type="dxa" w:w="9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0.3.x</w:t>
            </w:r>
          </w:p>
        </w:tc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volcengine/OpenViking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AGPL-3.0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知识库与检索（不包含其商业解析接口）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作为第三方组件单独说明</w:t>
            </w:r>
          </w:p>
        </w:tc>
      </w:tr>
      <w:tr>
        <w:tc>
          <w:tcPr>
            <w:tcW w:type="dxa" w:w="147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RAGFlow</w:t>
            </w:r>
          </w:p>
        </w:tc>
        <w:tc>
          <w:tcPr>
            <w:tcW w:type="dxa" w:w="96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0.2x</w:t>
            </w:r>
          </w:p>
        </w:tc>
        <w:tc>
          <w:tcPr>
            <w:tcW w:type="dxa" w:w="198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infiniflow/ragflow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192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知识库备选方案</w:t>
            </w:r>
          </w:p>
        </w:tc>
        <w:tc>
          <w:tcPr>
            <w:tcW w:type="dxa" w:w="1417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作为第三方组件单独说明</w:t>
            </w:r>
          </w:p>
        </w:tc>
      </w:tr>
      <w:tr>
        <w:tc>
          <w:tcPr>
            <w:tcW w:type="dxa" w:w="147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OmniDocBench</w:t>
            </w:r>
          </w:p>
        </w:tc>
        <w:tc>
          <w:tcPr>
            <w:tcW w:type="dxa" w:w="9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1.x</w:t>
            </w:r>
          </w:p>
        </w:tc>
        <w:tc>
          <w:tcPr>
            <w:tcW w:type="dxa" w:w="19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GitHub opendatalab/OmniDocBench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Apache-2.0</w:t>
            </w:r>
          </w:p>
        </w:tc>
        <w:tc>
          <w:tcPr>
            <w:tcW w:type="dxa" w:w="19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评测指标口径参考</w:t>
            </w:r>
          </w:p>
        </w:tc>
        <w:tc>
          <w:tcPr>
            <w:tcW w:type="dxa" w:w="1417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引用指标定义，说明评测方法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两条需要提醒团队：MinerU 的附加条款要求在对外提供在线服务时显著标注来源，并设定了商业许可阈值；AGPL 类项目如果被修改并对外分发，需要提供修改后的源码，本次提交本身开放源码，影响有限，但如果后续产品化，建议把 PyMuPDF 换成 pdfplumber、把 AGPL 组件换成 MIT 或 Apache 许可的替代品。</w:t>
      </w:r>
    </w:p>
    <w:p>
      <w:pPr>
        <w:pStyle w:val="Heading1"/>
      </w:pPr>
      <w:r>
        <w:t>八、与队友的接口对齐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解析模块的边界要提前说清楚，否则后端的核查模块会各自写一套读取逻辑，最后对不上。建议在一次组会上直接确认下表。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381"/>
        <w:gridCol w:w="1701"/>
        <w:gridCol w:w="3402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对接方</w:t>
            </w:r>
          </w:p>
        </w:tc>
        <w:tc>
          <w:tcPr>
            <w:tcW w:type="dxa" w:w="238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我提供什么</w:t>
            </w:r>
          </w:p>
        </w:tc>
        <w:tc>
          <w:tcPr>
            <w:tcW w:type="dxa" w:w="170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40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核查与比对模块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页级块级解析结果加质量报告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JSON Lines 加 JSON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只引用正常或警告页；引用必须带页码与坐标</w:t>
            </w:r>
          </w:p>
        </w:tc>
      </w:tr>
      <w:tr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知识库模块</w:t>
            </w:r>
          </w:p>
        </w:tc>
        <w:tc>
          <w:tcPr>
            <w:tcW w:type="dxa" w:w="238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切片文本与元数据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JSON Lines</w:t>
            </w:r>
          </w:p>
        </w:tc>
        <w:tc>
          <w:tcPr>
            <w:tcW w:type="dxa" w:w="340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页码与坐标写入元数据，便于从答案回链到原文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前端与演示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原文高亮所需参数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页码、坐标、页面尺寸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左上角原点、单位为点，按渲染缩放换算</w:t>
            </w:r>
          </w:p>
        </w:tc>
      </w:tr>
      <w:tr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日志与审计</w:t>
            </w:r>
          </w:p>
        </w:tc>
        <w:tc>
          <w:tcPr>
            <w:tcW w:type="dxa" w:w="238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四类日志与运行清单</w:t>
            </w:r>
          </w:p>
        </w:tc>
        <w:tc>
          <w:tcPr>
            <w:tcW w:type="dxa" w:w="170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JSON Lines 加 JSON</w:t>
            </w:r>
          </w:p>
        </w:tc>
        <w:tc>
          <w:tcPr>
            <w:tcW w:type="dxa" w:w="340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与解析产物共用 run_id，可交叉检索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全队交付</w:t>
            </w:r>
          </w:p>
        </w:tc>
        <w:tc>
          <w:tcPr>
            <w:tcW w:type="dxa" w:w="238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解析相关的第三方登记条目</w:t>
            </w:r>
          </w:p>
        </w:tc>
        <w:tc>
          <w:tcPr>
            <w:tcW w:type="dxa" w:w="170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表格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由我维护，统一并入项目说明</w:t>
            </w:r>
          </w:p>
        </w:tc>
      </w:tr>
    </w:tbl>
    <w:p>
      <w:pPr>
        <w:pStyle w:val="Heading1"/>
      </w:pPr>
      <w:r>
        <w:t>九、需要确认的问题</w:t>
      </w:r>
    </w:p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下面五个问题会直接改变技术路线，建议在下次组会上一次问清。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现场网络条件：</w:t>
      </w:r>
      <w:r>
        <w:rPr>
          <w:rFonts w:ascii="宋体" w:hAnsi="宋体" w:eastAsia="宋体"/>
          <w:color w:val="1A1A1A"/>
          <w:sz w:val="21"/>
        </w:rPr>
        <w:t>比赛现场是否提供外网，是否要求完全离线运行。这决定权重必须提前离线打包还是可以现场下载。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算力规格：</w:t>
      </w:r>
      <w:r>
        <w:rPr>
          <w:rFonts w:ascii="宋体" w:hAnsi="宋体" w:eastAsia="宋体"/>
          <w:color w:val="1A1A1A"/>
          <w:sz w:val="21"/>
        </w:rPr>
        <w:t>现场机器是否配备图形处理器、显存多大。这决定本地视觉模型能否上，以及解析档位怎么选。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模型要求口径：</w:t>
      </w:r>
      <w:r>
        <w:rPr>
          <w:rFonts w:ascii="宋体" w:hAnsi="宋体" w:eastAsia="宋体"/>
          <w:color w:val="1A1A1A"/>
          <w:sz w:val="21"/>
        </w:rPr>
        <w:t>是否强制使用国产模型、是否允许调用云端接口。这影响引擎选择与第三方登记方式。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最终交付形态：</w:t>
      </w:r>
      <w:r>
        <w:rPr>
          <w:rFonts w:ascii="宋体" w:hAnsi="宋体" w:eastAsia="宋体"/>
          <w:color w:val="1A1A1A"/>
          <w:sz w:val="21"/>
        </w:rPr>
        <w:t>是分析报告、系统演示还是两者都要，是否需要现场点击回溯原文位置。这决定坐标高亮做到什么程度。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许可证尺度：</w:t>
      </w:r>
      <w:r>
        <w:rPr>
          <w:rFonts w:ascii="宋体" w:hAnsi="宋体" w:eastAsia="宋体"/>
          <w:color w:val="1A1A1A"/>
          <w:sz w:val="21"/>
        </w:rPr>
        <w:t>评审对 AGPL 组件的态度，是否需要把链路控制在 MIT 与 Apache 许可范围内。</w:t>
      </w:r>
    </w:p>
    <w:p>
      <w:pPr>
        <w:pStyle w:val="Heading1"/>
      </w:pPr>
      <w:r>
        <w:t>十、现场演示与答辩要点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最有说服力的一段演示，是当众展示解析失败被系统识别出来的过程：同页渲染图、主引擎输出、对照引擎输出、质量分与判定原因并列呈现。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color w:val="1A1A1A"/>
          <w:sz w:val="21"/>
        </w:rPr>
        <w:t>第二条演示线索是从核查结论回跳到原文位置，点击结论直接高亮到具体页面的具体区块，这直接回应证据支撑充分性。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答辩时主动区分层次：</w:t>
      </w:r>
      <w:r>
        <w:rPr>
          <w:rFonts w:ascii="宋体" w:hAnsi="宋体" w:eastAsia="宋体"/>
          <w:color w:val="1A1A1A"/>
          <w:sz w:val="21"/>
        </w:rPr>
        <w:t>解析输出是事实层，模型判断是推论层，失败页不进入自动结论，体现风险审慎。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主动说明第三方边界：</w:t>
      </w:r>
      <w:r>
        <w:rPr>
          <w:rFonts w:ascii="宋体" w:hAnsi="宋体" w:eastAsia="宋体"/>
          <w:color w:val="1A1A1A"/>
          <w:sz w:val="21"/>
        </w:rPr>
        <w:t>哪些是开源组件、版本是多少、用在哪里、哪些是自研，比被动回答更安全。</w:t>
      </w:r>
    </w:p>
    <w:p>
      <w:pPr>
        <w:pStyle w:val="BodyTextCN"/>
        <w:spacing w:after="60"/>
        <w:ind w:left="425" w:hanging="198"/>
      </w:pPr>
      <w:r>
        <w:rPr>
          <w:rFonts w:ascii="宋体" w:hAnsi="宋体" w:eastAsia="宋体"/>
          <w:color w:val="1A1A1A"/>
          <w:sz w:val="21"/>
        </w:rPr>
        <w:t xml:space="preserve">• </w:t>
      </w:r>
      <w:r>
        <w:rPr>
          <w:rFonts w:ascii="宋体" w:hAnsi="宋体" w:eastAsia="宋体"/>
          <w:b/>
          <w:color w:val="1A1A1A"/>
          <w:sz w:val="21"/>
        </w:rPr>
        <w:t>准备好复现演示：</w:t>
      </w:r>
      <w:r>
        <w:rPr>
          <w:rFonts w:ascii="宋体" w:hAnsi="宋体" w:eastAsia="宋体"/>
          <w:color w:val="1A1A1A"/>
          <w:sz w:val="21"/>
        </w:rPr>
        <w:t>现场执行同一条解析命令与校验命令，证明展示版本与提交源码一致。</w:t>
      </w:r>
    </w:p>
    <w:p>
      <w:pPr>
        <w:pStyle w:val="Heading1"/>
      </w:pPr>
      <w:r>
        <w:t>十一、三周时间表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2608"/>
        <w:gridCol w:w="2041"/>
      </w:tblGrid>
      <w:tr>
        <w:trPr>
          <w:tblHeader w:val="true"/>
        </w:trPr>
        <w:tc>
          <w:tcPr>
            <w:tcW w:type="dxa" w:w="1134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402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解析模块任务</w:t>
            </w:r>
          </w:p>
        </w:tc>
        <w:tc>
          <w:tcPr>
            <w:tcW w:type="dxa" w:w="2608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2041"/>
            <w:vAlign w:val="center"/>
            <w:shd w:val="clear" w:color="auto" w:fill="1F38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里程碑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第一周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环境与合规边界、数据契约、样例解析跑通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合规说明、JSON Schema、样例产物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断网跑通一篇研报</w:t>
            </w:r>
          </w:p>
        </w:tc>
      </w:tr>
      <w:tr>
        <w:tc>
          <w:tcPr>
            <w:tcW w:type="dxa" w:w="1134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第二周</w:t>
            </w:r>
          </w:p>
        </w:tc>
        <w:tc>
          <w:tcPr>
            <w:tcW w:type="dxa" w:w="3402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解析流水线、失败识别与质量分、跨页表格处理</w:t>
            </w:r>
          </w:p>
        </w:tc>
        <w:tc>
          <w:tcPr>
            <w:tcW w:type="dxa" w:w="2608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解析服务、质量报告、失败样例集</w:t>
            </w:r>
          </w:p>
        </w:tc>
        <w:tc>
          <w:tcPr>
            <w:tcW w:type="dxa" w:w="2041"/>
            <w:vAlign w:val="center"/>
            <w:shd w:val="clear" w:color="auto" w:fill="F2F5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质量分可解释、可复核</w:t>
            </w:r>
          </w:p>
        </w:tc>
      </w:tr>
      <w:tr>
        <w:tc>
          <w:tcPr>
            <w:tcW w:type="dxa" w:w="113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第三周</w:t>
            </w:r>
          </w:p>
        </w:tc>
        <w:tc>
          <w:tcPr>
            <w:tcW w:type="dxa" w:w="340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日志与复现机制、评测、交付文档与演示脚本</w:t>
            </w:r>
          </w:p>
        </w:tc>
        <w:tc>
          <w:tcPr>
            <w:tcW w:type="dxa" w:w="26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REPRODUCE、THIRD_PARTY、评测报告、演示脚本</w:t>
            </w:r>
          </w:p>
        </w:tc>
        <w:tc>
          <w:tcPr>
            <w:tcW w:type="dxa" w:w="204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30" w:after="30" w:line="29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9"/>
              </w:rPr>
              <w:t>评审可独立复现</w:t>
            </w:r>
          </w:p>
        </w:tc>
      </w:tr>
    </w:tbl>
    <w:p>
      <w:pPr>
        <w:pStyle w:val="BodyTextCN"/>
      </w:pPr>
      <w:r>
        <w:rPr>
          <w:rFonts w:ascii="宋体" w:hAnsi="宋体" w:eastAsia="宋体"/>
          <w:color w:val="1A1A1A"/>
          <w:sz w:val="21"/>
        </w:rPr>
        <w:t>三周里真正决定成败的是第一周的契约设计。契约定得准，后面两周基本是填充实现；契约含糊，第三周会同时面对返工、文档和演示准备。</w:t>
      </w:r>
    </w:p>
    <w:sectPr w:rsidR="00FC693F" w:rsidRPr="0006063C" w:rsidSect="00034616"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72" w:lineRule="auto"/>
    </w:pPr>
    <w:rPr>
      <w:rFonts w:ascii="宋体" w:hAnsi="宋体" w:eastAsia="宋体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312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12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N">
    <w:name w:val="BodyTextCN"/>
    <w:pPr>
      <w:spacing w:before="0" w:after="140" w:line="372" w:lineRule="auto"/>
    </w:pPr>
    <w:rPr>
      <w:rFonts w:ascii="宋体" w:hAnsi="宋体" w:eastAsia="宋体"/>
      <w:b w:val="0"/>
      <w:color w:val="1A1A1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