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b/>
          <w:color w:val="1F4E5F"/>
          <w:sz w:val="44"/>
        </w:rPr>
        <w:t>Commercial Kitchen Operations Manual - Full Workflow</w:t>
      </w:r>
    </w:p>
    <w:p>
      <w:pPr>
        <w:jc w:val="center"/>
      </w:pPr>
      <w:r>
        <w:rPr>
          <w:rFonts w:ascii="Arial" w:hAnsi="Arial"/>
          <w:sz w:val="24"/>
        </w:rPr>
        <w:t>Full SOP framework with New Mexico compliance planning context</w:t>
      </w:r>
    </w:p>
    <w:p>
      <w:pPr>
        <w:spacing w:before="560"/>
        <w:jc w:val="center"/>
      </w:pPr>
      <w:r>
        <w:rPr>
          <w:rFonts w:ascii="Arial" w:hAnsi="Arial"/>
          <w:i/>
          <w:sz w:val="19"/>
        </w:rPr>
        <w:t>Prepared for founder planning, investor/lender review, operations build-out, staff onboarding, and consultant handoff.</w:t>
      </w:r>
    </w:p>
    <w:p>
      <w:r>
        <w:br w:type="page"/>
      </w:r>
    </w:p>
    <w:p>
      <w:pPr>
        <w:pStyle w:val="Heading1"/>
      </w:pPr>
      <w:r>
        <w:t>Manual Use Guide</w:t>
      </w:r>
    </w:p>
    <w:p>
      <w:r>
        <w:t>This manual is designed for the owner, operations director, kitchen manager, Person in Charge, vendor operators, staff trainers, consultants, lenders, and inspectors who need to understand how the kitchen will operate. It should be reviewed before design finalization, before permit submission, before staff onboarding, before soft opening, and after any major menu, equipment, ownership, or facility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User</w:t>
            </w:r>
          </w:p>
        </w:tc>
        <w:tc>
          <w:tcPr>
            <w:tcW w:type="dxa" w:w="3360"/>
            <w:vAlign w:val="center"/>
            <w:shd w:fill="1F4E5F"/>
          </w:tcPr>
          <w:p>
            <w:pPr>
              <w:spacing w:after="40"/>
            </w:pPr>
            <w:r>
              <w:rPr>
                <w:rFonts w:ascii="Arial" w:hAnsi="Arial"/>
                <w:sz w:val="17"/>
              </w:rPr>
            </w:r>
            <w:r>
              <w:rPr>
                <w:rFonts w:ascii="Arial" w:hAnsi="Arial"/>
                <w:b/>
                <w:color w:val="FFFFFF"/>
                <w:sz w:val="17"/>
              </w:rPr>
              <w:t>How to Use This Manual</w:t>
            </w:r>
          </w:p>
        </w:tc>
        <w:tc>
          <w:tcPr>
            <w:tcW w:type="dxa" w:w="3360"/>
            <w:vAlign w:val="center"/>
            <w:shd w:fill="1F4E5F"/>
          </w:tcPr>
          <w:p>
            <w:pPr>
              <w:spacing w:after="40"/>
            </w:pPr>
            <w:r>
              <w:rPr>
                <w:rFonts w:ascii="Arial" w:hAnsi="Arial"/>
                <w:sz w:val="17"/>
              </w:rPr>
            </w:r>
            <w:r>
              <w:rPr>
                <w:rFonts w:ascii="Arial" w:hAnsi="Arial"/>
                <w:b/>
                <w:color w:val="FFFFFF"/>
                <w:sz w:val="17"/>
              </w:rPr>
              <w:t>Review Cadence</w:t>
            </w:r>
          </w:p>
        </w:tc>
      </w:tr>
      <w:tr>
        <w:tc>
          <w:tcPr>
            <w:tcW w:type="dxa" w:w="3360"/>
            <w:vAlign w:val="center"/>
          </w:tcPr>
          <w:p>
            <w:pPr>
              <w:spacing w:after="40"/>
            </w:pPr>
            <w:r>
              <w:rPr>
                <w:rFonts w:ascii="Arial" w:hAnsi="Arial"/>
                <w:sz w:val="17"/>
              </w:rPr>
            </w:r>
            <w:r>
              <w:rPr>
                <w:rFonts w:ascii="Arial" w:hAnsi="Arial"/>
                <w:b w:val="0"/>
                <w:sz w:val="17"/>
              </w:rPr>
              <w:t>Founder / Owner</w:t>
            </w:r>
          </w:p>
        </w:tc>
        <w:tc>
          <w:tcPr>
            <w:tcW w:type="dxa" w:w="3360"/>
            <w:vAlign w:val="center"/>
          </w:tcPr>
          <w:p>
            <w:pPr>
              <w:spacing w:after="40"/>
            </w:pPr>
            <w:r>
              <w:rPr>
                <w:rFonts w:ascii="Arial" w:hAnsi="Arial"/>
                <w:sz w:val="17"/>
              </w:rPr>
            </w:r>
            <w:r>
              <w:rPr>
                <w:rFonts w:ascii="Arial" w:hAnsi="Arial"/>
                <w:b w:val="0"/>
                <w:sz w:val="17"/>
              </w:rPr>
              <w:t>Use as the operating blueprint for budget, staffing, compliance planning, and lender/investor explanation.</w:t>
            </w:r>
          </w:p>
        </w:tc>
        <w:tc>
          <w:tcPr>
            <w:tcW w:type="dxa" w:w="3360"/>
            <w:vAlign w:val="center"/>
          </w:tcPr>
          <w:p>
            <w:pPr>
              <w:spacing w:after="40"/>
            </w:pPr>
            <w:r>
              <w:rPr>
                <w:rFonts w:ascii="Arial" w:hAnsi="Arial"/>
                <w:sz w:val="17"/>
              </w:rPr>
            </w:r>
            <w:r>
              <w:rPr>
                <w:rFonts w:ascii="Arial" w:hAnsi="Arial"/>
                <w:b w:val="0"/>
                <w:sz w:val="17"/>
              </w:rPr>
              <w:t>Monthly during buildout; quarterly after launch.</w:t>
            </w:r>
          </w:p>
        </w:tc>
      </w:tr>
      <w:tr>
        <w:tc>
          <w:tcPr>
            <w:tcW w:type="dxa" w:w="3360"/>
            <w:vAlign w:val="center"/>
          </w:tcPr>
          <w:p>
            <w:pPr>
              <w:spacing w:after="40"/>
            </w:pPr>
            <w:r>
              <w:rPr>
                <w:rFonts w:ascii="Arial" w:hAnsi="Arial"/>
                <w:sz w:val="17"/>
              </w:rPr>
            </w:r>
            <w:r>
              <w:rPr>
                <w:rFonts w:ascii="Arial" w:hAnsi="Arial"/>
                <w:b w:val="0"/>
                <w:sz w:val="17"/>
              </w:rPr>
              <w:t>Operations Director</w:t>
            </w:r>
          </w:p>
        </w:tc>
        <w:tc>
          <w:tcPr>
            <w:tcW w:type="dxa" w:w="3360"/>
            <w:vAlign w:val="center"/>
          </w:tcPr>
          <w:p>
            <w:pPr>
              <w:spacing w:after="40"/>
            </w:pPr>
            <w:r>
              <w:rPr>
                <w:rFonts w:ascii="Arial" w:hAnsi="Arial"/>
                <w:sz w:val="17"/>
              </w:rPr>
            </w:r>
            <w:r>
              <w:rPr>
                <w:rFonts w:ascii="Arial" w:hAnsi="Arial"/>
                <w:b w:val="0"/>
                <w:sz w:val="17"/>
              </w:rPr>
              <w:t>Translate workflows into SOPs, training plans, job descriptions, and audit checklists.</w:t>
            </w:r>
          </w:p>
        </w:tc>
        <w:tc>
          <w:tcPr>
            <w:tcW w:type="dxa" w:w="3360"/>
            <w:vAlign w:val="center"/>
          </w:tcPr>
          <w:p>
            <w:pPr>
              <w:spacing w:after="40"/>
            </w:pPr>
            <w:r>
              <w:rPr>
                <w:rFonts w:ascii="Arial" w:hAnsi="Arial"/>
                <w:sz w:val="17"/>
              </w:rPr>
            </w:r>
            <w:r>
              <w:rPr>
                <w:rFonts w:ascii="Arial" w:hAnsi="Arial"/>
                <w:b w:val="0"/>
                <w:sz w:val="17"/>
              </w:rPr>
              <w:t>Weekly during launch; monthly after stabilization.</w:t>
            </w:r>
          </w:p>
        </w:tc>
      </w:tr>
      <w:tr>
        <w:tc>
          <w:tcPr>
            <w:tcW w:type="dxa" w:w="3360"/>
            <w:vAlign w:val="center"/>
          </w:tcPr>
          <w:p>
            <w:pPr>
              <w:spacing w:after="40"/>
            </w:pPr>
            <w:r>
              <w:rPr>
                <w:rFonts w:ascii="Arial" w:hAnsi="Arial"/>
                <w:sz w:val="17"/>
              </w:rPr>
            </w:r>
            <w:r>
              <w:rPr>
                <w:rFonts w:ascii="Arial" w:hAnsi="Arial"/>
                <w:b w:val="0"/>
                <w:sz w:val="17"/>
              </w:rPr>
              <w:t>Kitchen Manager / PIC</w:t>
            </w:r>
          </w:p>
        </w:tc>
        <w:tc>
          <w:tcPr>
            <w:tcW w:type="dxa" w:w="3360"/>
            <w:vAlign w:val="center"/>
          </w:tcPr>
          <w:p>
            <w:pPr>
              <w:spacing w:after="40"/>
            </w:pPr>
            <w:r>
              <w:rPr>
                <w:rFonts w:ascii="Arial" w:hAnsi="Arial"/>
                <w:sz w:val="17"/>
              </w:rPr>
            </w:r>
            <w:r>
              <w:rPr>
                <w:rFonts w:ascii="Arial" w:hAnsi="Arial"/>
                <w:b w:val="0"/>
                <w:sz w:val="17"/>
              </w:rPr>
              <w:t>Run opening/closing, food safety, prep, service, sanitation, corrective action, and inspection readiness.</w:t>
            </w:r>
          </w:p>
        </w:tc>
        <w:tc>
          <w:tcPr>
            <w:tcW w:type="dxa" w:w="3360"/>
            <w:vAlign w:val="center"/>
          </w:tcPr>
          <w:p>
            <w:pPr>
              <w:spacing w:after="40"/>
            </w:pPr>
            <w:r>
              <w:rPr>
                <w:rFonts w:ascii="Arial" w:hAnsi="Arial"/>
                <w:sz w:val="17"/>
              </w:rPr>
            </w:r>
            <w:r>
              <w:rPr>
                <w:rFonts w:ascii="Arial" w:hAnsi="Arial"/>
                <w:b w:val="0"/>
                <w:sz w:val="17"/>
              </w:rPr>
              <w:t>Daily use; weekly log review.</w:t>
            </w:r>
          </w:p>
        </w:tc>
      </w:tr>
      <w:tr>
        <w:tc>
          <w:tcPr>
            <w:tcW w:type="dxa" w:w="3360"/>
            <w:vAlign w:val="center"/>
          </w:tcPr>
          <w:p>
            <w:pPr>
              <w:spacing w:after="40"/>
            </w:pPr>
            <w:r>
              <w:rPr>
                <w:rFonts w:ascii="Arial" w:hAnsi="Arial"/>
                <w:sz w:val="17"/>
              </w:rPr>
            </w:r>
            <w:r>
              <w:rPr>
                <w:rFonts w:ascii="Arial" w:hAnsi="Arial"/>
                <w:b w:val="0"/>
                <w:sz w:val="17"/>
              </w:rPr>
              <w:t>Vendor Operators</w:t>
            </w:r>
          </w:p>
        </w:tc>
        <w:tc>
          <w:tcPr>
            <w:tcW w:type="dxa" w:w="3360"/>
            <w:vAlign w:val="center"/>
          </w:tcPr>
          <w:p>
            <w:pPr>
              <w:spacing w:after="40"/>
            </w:pPr>
            <w:r>
              <w:rPr>
                <w:rFonts w:ascii="Arial" w:hAnsi="Arial"/>
                <w:sz w:val="17"/>
              </w:rPr>
            </w:r>
            <w:r>
              <w:rPr>
                <w:rFonts w:ascii="Arial" w:hAnsi="Arial"/>
                <w:b w:val="0"/>
                <w:sz w:val="17"/>
              </w:rPr>
              <w:t>Understand shared-use rules, storage, cleaning, scheduling, receiving, labeling, and compliance boundaries.</w:t>
            </w:r>
          </w:p>
        </w:tc>
        <w:tc>
          <w:tcPr>
            <w:tcW w:type="dxa" w:w="3360"/>
            <w:vAlign w:val="center"/>
          </w:tcPr>
          <w:p>
            <w:pPr>
              <w:spacing w:after="40"/>
            </w:pPr>
            <w:r>
              <w:rPr>
                <w:rFonts w:ascii="Arial" w:hAnsi="Arial"/>
                <w:sz w:val="17"/>
              </w:rPr>
            </w:r>
            <w:r>
              <w:rPr>
                <w:rFonts w:ascii="Arial" w:hAnsi="Arial"/>
                <w:b w:val="0"/>
                <w:sz w:val="17"/>
              </w:rPr>
              <w:t>Before onboarding and each policy update.</w:t>
            </w:r>
          </w:p>
        </w:tc>
      </w:tr>
      <w:tr>
        <w:tc>
          <w:tcPr>
            <w:tcW w:type="dxa" w:w="3360"/>
            <w:vAlign w:val="center"/>
          </w:tcPr>
          <w:p>
            <w:pPr>
              <w:spacing w:after="40"/>
            </w:pPr>
            <w:r>
              <w:rPr>
                <w:rFonts w:ascii="Arial" w:hAnsi="Arial"/>
                <w:sz w:val="17"/>
              </w:rPr>
            </w:r>
            <w:r>
              <w:rPr>
                <w:rFonts w:ascii="Arial" w:hAnsi="Arial"/>
                <w:b w:val="0"/>
                <w:sz w:val="17"/>
              </w:rPr>
              <w:t>Consultants / Designers</w:t>
            </w:r>
          </w:p>
        </w:tc>
        <w:tc>
          <w:tcPr>
            <w:tcW w:type="dxa" w:w="3360"/>
            <w:vAlign w:val="center"/>
          </w:tcPr>
          <w:p>
            <w:pPr>
              <w:spacing w:after="40"/>
            </w:pPr>
            <w:r>
              <w:rPr>
                <w:rFonts w:ascii="Arial" w:hAnsi="Arial"/>
                <w:sz w:val="17"/>
              </w:rPr>
            </w:r>
            <w:r>
              <w:rPr>
                <w:rFonts w:ascii="Arial" w:hAnsi="Arial"/>
                <w:b w:val="0"/>
                <w:sz w:val="17"/>
              </w:rPr>
              <w:t>Validate layout, equipment, workflow, utility loads, clean/dirty flow, and compliance-file needs.</w:t>
            </w:r>
          </w:p>
        </w:tc>
        <w:tc>
          <w:tcPr>
            <w:tcW w:type="dxa" w:w="3360"/>
            <w:vAlign w:val="center"/>
          </w:tcPr>
          <w:p>
            <w:pPr>
              <w:spacing w:after="40"/>
            </w:pPr>
            <w:r>
              <w:rPr>
                <w:rFonts w:ascii="Arial" w:hAnsi="Arial"/>
                <w:sz w:val="17"/>
              </w:rPr>
            </w:r>
            <w:r>
              <w:rPr>
                <w:rFonts w:ascii="Arial" w:hAnsi="Arial"/>
                <w:b w:val="0"/>
                <w:sz w:val="17"/>
              </w:rPr>
              <w:t>During design and plan review.</w:t>
            </w:r>
          </w:p>
        </w:tc>
      </w:tr>
    </w:tbl>
    <w:p/>
    <w:p>
      <w:pPr>
        <w:pStyle w:val="Heading1"/>
      </w:pPr>
      <w:r>
        <w:t>New Mexico Compliance Note</w:t>
      </w:r>
    </w:p>
    <w:p>
      <w:r>
        <w:t>This commercial kitchen operations manual is an operations and planning document, not legal advice. New Mexico Environment Department, City of Las Cruces, fire/building officials, New Mexico Regulation and Licensing Department Alcoholic Beverage Control Division, New Mexico Taxation and Revenue, employment agencies, insurers, and applicable professional advisers control final requirements.</w:t>
      </w:r>
    </w:p>
    <w:p>
      <w:r>
        <w:t>The Las Cruces Culinary Hub should treat every regulatory item below as a verification prompt. Exact permit class, plan-review scope, alcohol license pathway, packaged-food approval, zoning status, fees, timelines, and inspection requirements must be confirmed before launch and whenever the facility, menu, production method, retail channel, or event model changes.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Compliance Area</w:t>
            </w:r>
          </w:p>
        </w:tc>
        <w:tc>
          <w:tcPr>
            <w:tcW w:type="dxa" w:w="3360"/>
            <w:vAlign w:val="center"/>
            <w:shd w:fill="1F4E5F"/>
          </w:tcPr>
          <w:p>
            <w:pPr>
              <w:spacing w:after="40"/>
            </w:pPr>
            <w:r>
              <w:rPr>
                <w:rFonts w:ascii="Arial" w:hAnsi="Arial"/>
                <w:sz w:val="17"/>
              </w:rPr>
            </w:r>
            <w:r>
              <w:rPr>
                <w:rFonts w:ascii="Arial" w:hAnsi="Arial"/>
                <w:b/>
                <w:color w:val="FFFFFF"/>
                <w:sz w:val="17"/>
              </w:rPr>
              <w:t>Planning Requirement</w:t>
            </w:r>
          </w:p>
        </w:tc>
        <w:tc>
          <w:tcPr>
            <w:tcW w:type="dxa" w:w="3360"/>
            <w:vAlign w:val="center"/>
            <w:shd w:fill="1F4E5F"/>
          </w:tcPr>
          <w:p>
            <w:pPr>
              <w:spacing w:after="40"/>
            </w:pPr>
            <w:r>
              <w:rPr>
                <w:rFonts w:ascii="Arial" w:hAnsi="Arial"/>
                <w:sz w:val="17"/>
              </w:rPr>
            </w:r>
            <w:r>
              <w:rPr>
                <w:rFonts w:ascii="Arial" w:hAnsi="Arial"/>
                <w:b/>
                <w:color w:val="FFFFFF"/>
                <w:sz w:val="17"/>
              </w:rPr>
              <w:t>Operating Impact</w:t>
            </w:r>
          </w:p>
        </w:tc>
      </w:tr>
      <w:tr>
        <w:tc>
          <w:tcPr>
            <w:tcW w:type="dxa" w:w="3360"/>
            <w:vAlign w:val="center"/>
          </w:tcPr>
          <w:p>
            <w:pPr>
              <w:spacing w:after="40"/>
            </w:pPr>
            <w:r>
              <w:rPr>
                <w:rFonts w:ascii="Arial" w:hAnsi="Arial"/>
                <w:sz w:val="17"/>
              </w:rPr>
            </w:r>
            <w:r>
              <w:rPr>
                <w:rFonts w:ascii="Arial" w:hAnsi="Arial"/>
                <w:b w:val="0"/>
                <w:sz w:val="17"/>
              </w:rPr>
              <w:t>NMED food permits</w:t>
            </w:r>
          </w:p>
        </w:tc>
        <w:tc>
          <w:tcPr>
            <w:tcW w:type="dxa" w:w="3360"/>
            <w:vAlign w:val="center"/>
          </w:tcPr>
          <w:p>
            <w:pPr>
              <w:spacing w:after="40"/>
            </w:pPr>
            <w:r>
              <w:rPr>
                <w:rFonts w:ascii="Arial" w:hAnsi="Arial"/>
                <w:sz w:val="17"/>
              </w:rPr>
            </w:r>
            <w:r>
              <w:rPr>
                <w:rFonts w:ascii="Arial" w:hAnsi="Arial"/>
                <w:b w:val="0"/>
                <w:sz w:val="17"/>
              </w:rPr>
              <w:t>Confirm permit class for each food establishment, shared kitchen, food processor, mobile unit, temporary food event, and vendor stall as applicable.</w:t>
            </w:r>
          </w:p>
        </w:tc>
        <w:tc>
          <w:tcPr>
            <w:tcW w:type="dxa" w:w="3360"/>
            <w:vAlign w:val="center"/>
          </w:tcPr>
          <w:p>
            <w:pPr>
              <w:spacing w:after="40"/>
            </w:pPr>
            <w:r>
              <w:rPr>
                <w:rFonts w:ascii="Arial" w:hAnsi="Arial"/>
                <w:sz w:val="17"/>
              </w:rPr>
            </w:r>
            <w:r>
              <w:rPr>
                <w:rFonts w:ascii="Arial" w:hAnsi="Arial"/>
                <w:b w:val="0"/>
                <w:sz w:val="17"/>
              </w:rPr>
              <w:t>Do not open or expand food operations until the permit path and inspection requirements are confirmed.</w:t>
            </w:r>
          </w:p>
        </w:tc>
      </w:tr>
      <w:tr>
        <w:tc>
          <w:tcPr>
            <w:tcW w:type="dxa" w:w="3360"/>
            <w:vAlign w:val="center"/>
          </w:tcPr>
          <w:p>
            <w:pPr>
              <w:spacing w:after="40"/>
            </w:pPr>
            <w:r>
              <w:rPr>
                <w:rFonts w:ascii="Arial" w:hAnsi="Arial"/>
                <w:sz w:val="17"/>
              </w:rPr>
            </w:r>
            <w:r>
              <w:rPr>
                <w:rFonts w:ascii="Arial" w:hAnsi="Arial"/>
                <w:b w:val="0"/>
                <w:sz w:val="17"/>
              </w:rPr>
              <w:t>Food code / 7.6.2 NMAC</w:t>
            </w:r>
          </w:p>
        </w:tc>
        <w:tc>
          <w:tcPr>
            <w:tcW w:type="dxa" w:w="3360"/>
            <w:vAlign w:val="center"/>
          </w:tcPr>
          <w:p>
            <w:pPr>
              <w:spacing w:after="40"/>
            </w:pPr>
            <w:r>
              <w:rPr>
                <w:rFonts w:ascii="Arial" w:hAnsi="Arial"/>
                <w:sz w:val="17"/>
              </w:rPr>
            </w:r>
            <w:r>
              <w:rPr>
                <w:rFonts w:ascii="Arial" w:hAnsi="Arial"/>
                <w:b w:val="0"/>
                <w:sz w:val="17"/>
              </w:rPr>
              <w:t>New Mexico uses state food rules that incorporate the 2017 FDA Food Code with modifications.</w:t>
            </w:r>
          </w:p>
        </w:tc>
        <w:tc>
          <w:tcPr>
            <w:tcW w:type="dxa" w:w="3360"/>
            <w:vAlign w:val="center"/>
          </w:tcPr>
          <w:p>
            <w:pPr>
              <w:spacing w:after="40"/>
            </w:pPr>
            <w:r>
              <w:rPr>
                <w:rFonts w:ascii="Arial" w:hAnsi="Arial"/>
                <w:sz w:val="17"/>
              </w:rPr>
            </w:r>
            <w:r>
              <w:rPr>
                <w:rFonts w:ascii="Arial" w:hAnsi="Arial"/>
                <w:b w:val="0"/>
                <w:sz w:val="17"/>
              </w:rPr>
              <w:t>Maintain logs, active managerial control, food protection practices, and inspection readiness.</w:t>
            </w:r>
          </w:p>
        </w:tc>
      </w:tr>
      <w:tr>
        <w:tc>
          <w:tcPr>
            <w:tcW w:type="dxa" w:w="3360"/>
            <w:vAlign w:val="center"/>
          </w:tcPr>
          <w:p>
            <w:pPr>
              <w:spacing w:after="40"/>
            </w:pPr>
            <w:r>
              <w:rPr>
                <w:rFonts w:ascii="Arial" w:hAnsi="Arial"/>
                <w:sz w:val="17"/>
              </w:rPr>
            </w:r>
            <w:r>
              <w:rPr>
                <w:rFonts w:ascii="Arial" w:hAnsi="Arial"/>
                <w:b w:val="0"/>
                <w:sz w:val="17"/>
              </w:rPr>
              <w:t>Food handler / CFPM</w:t>
            </w:r>
          </w:p>
        </w:tc>
        <w:tc>
          <w:tcPr>
            <w:tcW w:type="dxa" w:w="3360"/>
            <w:vAlign w:val="center"/>
          </w:tcPr>
          <w:p>
            <w:pPr>
              <w:spacing w:after="40"/>
            </w:pPr>
            <w:r>
              <w:rPr>
                <w:rFonts w:ascii="Arial" w:hAnsi="Arial"/>
                <w:sz w:val="17"/>
              </w:rPr>
            </w:r>
            <w:r>
              <w:rPr>
                <w:rFonts w:ascii="Arial" w:hAnsi="Arial"/>
                <w:b w:val="0"/>
                <w:sz w:val="17"/>
              </w:rPr>
              <w:t>Maintain food handler cards or approved training records and Certified Food Protection Manager records where required.</w:t>
            </w:r>
          </w:p>
        </w:tc>
        <w:tc>
          <w:tcPr>
            <w:tcW w:type="dxa" w:w="3360"/>
            <w:vAlign w:val="center"/>
          </w:tcPr>
          <w:p>
            <w:pPr>
              <w:spacing w:after="40"/>
            </w:pPr>
            <w:r>
              <w:rPr>
                <w:rFonts w:ascii="Arial" w:hAnsi="Arial"/>
                <w:sz w:val="17"/>
              </w:rPr>
            </w:r>
            <w:r>
              <w:rPr>
                <w:rFonts w:ascii="Arial" w:hAnsi="Arial"/>
                <w:b w:val="0"/>
                <w:sz w:val="17"/>
              </w:rPr>
              <w:t>Training files must be available for inspection and vendor onboarding.</w:t>
            </w:r>
          </w:p>
        </w:tc>
      </w:tr>
      <w:tr>
        <w:tc>
          <w:tcPr>
            <w:tcW w:type="dxa" w:w="3360"/>
            <w:vAlign w:val="center"/>
          </w:tcPr>
          <w:p>
            <w:pPr>
              <w:spacing w:after="40"/>
            </w:pPr>
            <w:r>
              <w:rPr>
                <w:rFonts w:ascii="Arial" w:hAnsi="Arial"/>
                <w:sz w:val="17"/>
              </w:rPr>
            </w:r>
            <w:r>
              <w:rPr>
                <w:rFonts w:ascii="Arial" w:hAnsi="Arial"/>
                <w:b w:val="0"/>
                <w:sz w:val="17"/>
              </w:rPr>
              <w:t>Las Cruces business / zoning / building</w:t>
            </w:r>
          </w:p>
        </w:tc>
        <w:tc>
          <w:tcPr>
            <w:tcW w:type="dxa" w:w="3360"/>
            <w:vAlign w:val="center"/>
          </w:tcPr>
          <w:p>
            <w:pPr>
              <w:spacing w:after="40"/>
            </w:pPr>
            <w:r>
              <w:rPr>
                <w:rFonts w:ascii="Arial" w:hAnsi="Arial"/>
                <w:sz w:val="17"/>
              </w:rPr>
            </w:r>
            <w:r>
              <w:rPr>
                <w:rFonts w:ascii="Arial" w:hAnsi="Arial"/>
                <w:b w:val="0"/>
                <w:sz w:val="17"/>
              </w:rPr>
              <w:t>Confirm CRS/business tax registration, city business registration, parcel zoning, building permits, fire review, and development approvals.</w:t>
            </w:r>
          </w:p>
        </w:tc>
        <w:tc>
          <w:tcPr>
            <w:tcW w:type="dxa" w:w="3360"/>
            <w:vAlign w:val="center"/>
          </w:tcPr>
          <w:p>
            <w:pPr>
              <w:spacing w:after="40"/>
            </w:pPr>
            <w:r>
              <w:rPr>
                <w:rFonts w:ascii="Arial" w:hAnsi="Arial"/>
                <w:sz w:val="17"/>
              </w:rPr>
            </w:r>
            <w:r>
              <w:rPr>
                <w:rFonts w:ascii="Arial" w:hAnsi="Arial"/>
                <w:b w:val="0"/>
                <w:sz w:val="17"/>
              </w:rPr>
              <w:t>Site selection and buildout cannot rely on generic food-hall assumptions.</w:t>
            </w:r>
          </w:p>
        </w:tc>
      </w:tr>
      <w:tr>
        <w:tc>
          <w:tcPr>
            <w:tcW w:type="dxa" w:w="3360"/>
            <w:vAlign w:val="center"/>
          </w:tcPr>
          <w:p>
            <w:pPr>
              <w:spacing w:after="40"/>
            </w:pPr>
            <w:r>
              <w:rPr>
                <w:rFonts w:ascii="Arial" w:hAnsi="Arial"/>
                <w:sz w:val="17"/>
              </w:rPr>
            </w:r>
            <w:r>
              <w:rPr>
                <w:rFonts w:ascii="Arial" w:hAnsi="Arial"/>
                <w:b w:val="0"/>
                <w:sz w:val="17"/>
              </w:rPr>
              <w:t>Alcohol/cider</w:t>
            </w:r>
          </w:p>
        </w:tc>
        <w:tc>
          <w:tcPr>
            <w:tcW w:type="dxa" w:w="3360"/>
            <w:vAlign w:val="center"/>
          </w:tcPr>
          <w:p>
            <w:pPr>
              <w:spacing w:after="40"/>
            </w:pPr>
            <w:r>
              <w:rPr>
                <w:rFonts w:ascii="Arial" w:hAnsi="Arial"/>
                <w:sz w:val="17"/>
              </w:rPr>
            </w:r>
            <w:r>
              <w:rPr>
                <w:rFonts w:ascii="Arial" w:hAnsi="Arial"/>
                <w:b w:val="0"/>
                <w:sz w:val="17"/>
              </w:rPr>
              <w:t>Confirm ABC/RLD license class, server requirements, event permissions, and whether winegrower/restaurant/dispenser pathways apply.</w:t>
            </w:r>
          </w:p>
        </w:tc>
        <w:tc>
          <w:tcPr>
            <w:tcW w:type="dxa" w:w="3360"/>
            <w:vAlign w:val="center"/>
          </w:tcPr>
          <w:p>
            <w:pPr>
              <w:spacing w:after="40"/>
            </w:pPr>
            <w:r>
              <w:rPr>
                <w:rFonts w:ascii="Arial" w:hAnsi="Arial"/>
                <w:sz w:val="17"/>
              </w:rPr>
            </w:r>
            <w:r>
              <w:rPr>
                <w:rFonts w:ascii="Arial" w:hAnsi="Arial"/>
                <w:b w:val="0"/>
                <w:sz w:val="17"/>
              </w:rPr>
              <w:t>Cider/bar service must be planned separately from food permits.</w:t>
            </w:r>
          </w:p>
        </w:tc>
      </w:tr>
      <w:tr>
        <w:tc>
          <w:tcPr>
            <w:tcW w:type="dxa" w:w="3360"/>
            <w:vAlign w:val="center"/>
          </w:tcPr>
          <w:p>
            <w:pPr>
              <w:spacing w:after="40"/>
            </w:pPr>
            <w:r>
              <w:rPr>
                <w:rFonts w:ascii="Arial" w:hAnsi="Arial"/>
                <w:sz w:val="17"/>
              </w:rPr>
            </w:r>
            <w:r>
              <w:rPr>
                <w:rFonts w:ascii="Arial" w:hAnsi="Arial"/>
                <w:b w:val="0"/>
                <w:sz w:val="17"/>
              </w:rPr>
              <w:t>Packaged retail / gift shop</w:t>
            </w:r>
          </w:p>
        </w:tc>
        <w:tc>
          <w:tcPr>
            <w:tcW w:type="dxa" w:w="3360"/>
            <w:vAlign w:val="center"/>
          </w:tcPr>
          <w:p>
            <w:pPr>
              <w:spacing w:after="40"/>
            </w:pPr>
            <w:r>
              <w:rPr>
                <w:rFonts w:ascii="Arial" w:hAnsi="Arial"/>
                <w:sz w:val="17"/>
              </w:rPr>
            </w:r>
            <w:r>
              <w:rPr>
                <w:rFonts w:ascii="Arial" w:hAnsi="Arial"/>
                <w:b w:val="0"/>
                <w:sz w:val="17"/>
              </w:rPr>
              <w:t>Confirm manufactured-food, labeling, storage, sales-tax, and vendor product responsibilities.</w:t>
            </w:r>
          </w:p>
        </w:tc>
        <w:tc>
          <w:tcPr>
            <w:tcW w:type="dxa" w:w="3360"/>
            <w:vAlign w:val="center"/>
          </w:tcPr>
          <w:p>
            <w:pPr>
              <w:spacing w:after="40"/>
            </w:pPr>
            <w:r>
              <w:rPr>
                <w:rFonts w:ascii="Arial" w:hAnsi="Arial"/>
                <w:sz w:val="17"/>
              </w:rPr>
            </w:r>
            <w:r>
              <w:rPr>
                <w:rFonts w:ascii="Arial" w:hAnsi="Arial"/>
                <w:b w:val="0"/>
                <w:sz w:val="17"/>
              </w:rPr>
              <w:t>Retail shelf products require documentation, labels, inventory control, and vendor license terms.</w:t>
            </w:r>
          </w:p>
        </w:tc>
      </w:tr>
    </w:tbl>
    <w:p/>
    <w:p>
      <w:pPr>
        <w:pStyle w:val="Heading1"/>
      </w:pPr>
      <w:r>
        <w:t>1. Overview and Purpose</w:t>
      </w:r>
    </w:p>
    <w:p>
      <w:r>
        <w:t>A commercial kitchen is a licensed food-production environment designed to prepare, cook, cool, hold, package, serve, or distribute food under controlled sanitary conditions. In a shared-use kitchen, multiple operators may use the facility under assigned schedules and rules. In a restaurant-style kitchen, one operating team may support several menu lines, service periods, catering orders, retail products, and events.</w:t>
      </w:r>
    </w:p>
    <w:p>
      <w:r>
        <w:t>The operating goals are food safety, consistency, efficiency, compliance, accountability, and scalability. Every workflow should identify the responsible person, required records, dependencies, and critical control points. The kitchen should be able to prove not only that food was produced, but that it was produced under a controlled system.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Operating Goal</w:t>
            </w:r>
          </w:p>
        </w:tc>
        <w:tc>
          <w:tcPr>
            <w:tcW w:type="dxa" w:w="3360"/>
            <w:vAlign w:val="center"/>
            <w:shd w:fill="1F4E5F"/>
          </w:tcPr>
          <w:p>
            <w:pPr>
              <w:spacing w:after="40"/>
            </w:pPr>
            <w:r>
              <w:rPr>
                <w:rFonts w:ascii="Arial" w:hAnsi="Arial"/>
                <w:sz w:val="17"/>
              </w:rPr>
            </w:r>
            <w:r>
              <w:rPr>
                <w:rFonts w:ascii="Arial" w:hAnsi="Arial"/>
                <w:b/>
                <w:color w:val="FFFFFF"/>
                <w:sz w:val="17"/>
              </w:rPr>
              <w:t>Required System</w:t>
            </w:r>
          </w:p>
        </w:tc>
        <w:tc>
          <w:tcPr>
            <w:tcW w:type="dxa" w:w="3360"/>
            <w:vAlign w:val="center"/>
            <w:shd w:fill="1F4E5F"/>
          </w:tcPr>
          <w:p>
            <w:pPr>
              <w:spacing w:after="40"/>
            </w:pPr>
            <w:r>
              <w:rPr>
                <w:rFonts w:ascii="Arial" w:hAnsi="Arial"/>
                <w:sz w:val="17"/>
              </w:rPr>
            </w:r>
            <w:r>
              <w:rPr>
                <w:rFonts w:ascii="Arial" w:hAnsi="Arial"/>
                <w:b/>
                <w:color w:val="FFFFFF"/>
                <w:sz w:val="17"/>
              </w:rPr>
              <w:t>Evidence</w:t>
            </w:r>
          </w:p>
        </w:tc>
      </w:tr>
      <w:tr>
        <w:tc>
          <w:tcPr>
            <w:tcW w:type="dxa" w:w="3360"/>
            <w:vAlign w:val="center"/>
          </w:tcPr>
          <w:p>
            <w:pPr>
              <w:spacing w:after="40"/>
            </w:pPr>
            <w:r>
              <w:rPr>
                <w:rFonts w:ascii="Arial" w:hAnsi="Arial"/>
                <w:sz w:val="17"/>
              </w:rPr>
            </w:r>
            <w:r>
              <w:rPr>
                <w:rFonts w:ascii="Arial" w:hAnsi="Arial"/>
                <w:b w:val="0"/>
                <w:sz w:val="17"/>
              </w:rPr>
              <w:t>Food safety</w:t>
            </w:r>
          </w:p>
        </w:tc>
        <w:tc>
          <w:tcPr>
            <w:tcW w:type="dxa" w:w="3360"/>
            <w:vAlign w:val="center"/>
          </w:tcPr>
          <w:p>
            <w:pPr>
              <w:spacing w:after="40"/>
            </w:pPr>
            <w:r>
              <w:rPr>
                <w:rFonts w:ascii="Arial" w:hAnsi="Arial"/>
                <w:sz w:val="17"/>
              </w:rPr>
            </w:r>
            <w:r>
              <w:rPr>
                <w:rFonts w:ascii="Arial" w:hAnsi="Arial"/>
                <w:b w:val="0"/>
                <w:sz w:val="17"/>
              </w:rPr>
              <w:t>Active managerial control, training, temperature control, separation, sanitation, corrective action.</w:t>
            </w:r>
          </w:p>
        </w:tc>
        <w:tc>
          <w:tcPr>
            <w:tcW w:type="dxa" w:w="3360"/>
            <w:vAlign w:val="center"/>
          </w:tcPr>
          <w:p>
            <w:pPr>
              <w:spacing w:after="40"/>
            </w:pPr>
            <w:r>
              <w:rPr>
                <w:rFonts w:ascii="Arial" w:hAnsi="Arial"/>
                <w:sz w:val="17"/>
              </w:rPr>
            </w:r>
            <w:r>
              <w:rPr>
                <w:rFonts w:ascii="Arial" w:hAnsi="Arial"/>
                <w:b w:val="0"/>
                <w:sz w:val="17"/>
              </w:rPr>
              <w:t>Logs, inspection reports, training files, incident reports.</w:t>
            </w:r>
          </w:p>
        </w:tc>
      </w:tr>
      <w:tr>
        <w:tc>
          <w:tcPr>
            <w:tcW w:type="dxa" w:w="3360"/>
            <w:vAlign w:val="center"/>
          </w:tcPr>
          <w:p>
            <w:pPr>
              <w:spacing w:after="40"/>
            </w:pPr>
            <w:r>
              <w:rPr>
                <w:rFonts w:ascii="Arial" w:hAnsi="Arial"/>
                <w:sz w:val="17"/>
              </w:rPr>
            </w:r>
            <w:r>
              <w:rPr>
                <w:rFonts w:ascii="Arial" w:hAnsi="Arial"/>
                <w:b w:val="0"/>
                <w:sz w:val="17"/>
              </w:rPr>
              <w:t>Consistency</w:t>
            </w:r>
          </w:p>
        </w:tc>
        <w:tc>
          <w:tcPr>
            <w:tcW w:type="dxa" w:w="3360"/>
            <w:vAlign w:val="center"/>
          </w:tcPr>
          <w:p>
            <w:pPr>
              <w:spacing w:after="40"/>
            </w:pPr>
            <w:r>
              <w:rPr>
                <w:rFonts w:ascii="Arial" w:hAnsi="Arial"/>
                <w:sz w:val="17"/>
              </w:rPr>
            </w:r>
            <w:r>
              <w:rPr>
                <w:rFonts w:ascii="Arial" w:hAnsi="Arial"/>
                <w:b w:val="0"/>
                <w:sz w:val="17"/>
              </w:rPr>
              <w:t>Standard recipes, prep sheets, batch controls, portion tools, plate/package standards.</w:t>
            </w:r>
          </w:p>
        </w:tc>
        <w:tc>
          <w:tcPr>
            <w:tcW w:type="dxa" w:w="3360"/>
            <w:vAlign w:val="center"/>
          </w:tcPr>
          <w:p>
            <w:pPr>
              <w:spacing w:after="40"/>
            </w:pPr>
            <w:r>
              <w:rPr>
                <w:rFonts w:ascii="Arial" w:hAnsi="Arial"/>
                <w:sz w:val="17"/>
              </w:rPr>
            </w:r>
            <w:r>
              <w:rPr>
                <w:rFonts w:ascii="Arial" w:hAnsi="Arial"/>
                <w:b w:val="0"/>
                <w:sz w:val="17"/>
              </w:rPr>
              <w:t>Recipe cards, batch sheets, manager line checks.</w:t>
            </w:r>
          </w:p>
        </w:tc>
      </w:tr>
      <w:tr>
        <w:tc>
          <w:tcPr>
            <w:tcW w:type="dxa" w:w="3360"/>
            <w:vAlign w:val="center"/>
          </w:tcPr>
          <w:p>
            <w:pPr>
              <w:spacing w:after="40"/>
            </w:pPr>
            <w:r>
              <w:rPr>
                <w:rFonts w:ascii="Arial" w:hAnsi="Arial"/>
                <w:sz w:val="17"/>
              </w:rPr>
            </w:r>
            <w:r>
              <w:rPr>
                <w:rFonts w:ascii="Arial" w:hAnsi="Arial"/>
                <w:b w:val="0"/>
                <w:sz w:val="17"/>
              </w:rPr>
              <w:t>Efficiency</w:t>
            </w:r>
          </w:p>
        </w:tc>
        <w:tc>
          <w:tcPr>
            <w:tcW w:type="dxa" w:w="3360"/>
            <w:vAlign w:val="center"/>
          </w:tcPr>
          <w:p>
            <w:pPr>
              <w:spacing w:after="40"/>
            </w:pPr>
            <w:r>
              <w:rPr>
                <w:rFonts w:ascii="Arial" w:hAnsi="Arial"/>
                <w:sz w:val="17"/>
              </w:rPr>
            </w:r>
            <w:r>
              <w:rPr>
                <w:rFonts w:ascii="Arial" w:hAnsi="Arial"/>
                <w:b w:val="0"/>
                <w:sz w:val="17"/>
              </w:rPr>
              <w:t>Logical layout, station readiness, accurate par levels, clear ticket/service flow, maintenance planning.</w:t>
            </w:r>
          </w:p>
        </w:tc>
        <w:tc>
          <w:tcPr>
            <w:tcW w:type="dxa" w:w="3360"/>
            <w:vAlign w:val="center"/>
          </w:tcPr>
          <w:p>
            <w:pPr>
              <w:spacing w:after="40"/>
            </w:pPr>
            <w:r>
              <w:rPr>
                <w:rFonts w:ascii="Arial" w:hAnsi="Arial"/>
                <w:sz w:val="17"/>
              </w:rPr>
            </w:r>
            <w:r>
              <w:rPr>
                <w:rFonts w:ascii="Arial" w:hAnsi="Arial"/>
                <w:b w:val="0"/>
                <w:sz w:val="17"/>
              </w:rPr>
              <w:t>Prep lists, production schedules, shift notes, KPI review.</w:t>
            </w:r>
          </w:p>
        </w:tc>
      </w:tr>
      <w:tr>
        <w:tc>
          <w:tcPr>
            <w:tcW w:type="dxa" w:w="3360"/>
            <w:vAlign w:val="center"/>
          </w:tcPr>
          <w:p>
            <w:pPr>
              <w:spacing w:after="40"/>
            </w:pPr>
            <w:r>
              <w:rPr>
                <w:rFonts w:ascii="Arial" w:hAnsi="Arial"/>
                <w:sz w:val="17"/>
              </w:rPr>
            </w:r>
            <w:r>
              <w:rPr>
                <w:rFonts w:ascii="Arial" w:hAnsi="Arial"/>
                <w:b w:val="0"/>
                <w:sz w:val="17"/>
              </w:rPr>
              <w:t>Compliance</w:t>
            </w:r>
          </w:p>
        </w:tc>
        <w:tc>
          <w:tcPr>
            <w:tcW w:type="dxa" w:w="3360"/>
            <w:vAlign w:val="center"/>
          </w:tcPr>
          <w:p>
            <w:pPr>
              <w:spacing w:after="40"/>
            </w:pPr>
            <w:r>
              <w:rPr>
                <w:rFonts w:ascii="Arial" w:hAnsi="Arial"/>
                <w:sz w:val="17"/>
              </w:rPr>
            </w:r>
            <w:r>
              <w:rPr>
                <w:rFonts w:ascii="Arial" w:hAnsi="Arial"/>
                <w:b w:val="0"/>
                <w:sz w:val="17"/>
              </w:rPr>
              <w:t>Permit files, plan review, food handler/CFPM records, local business approvals, alcohol/retail files where applicable.</w:t>
            </w:r>
          </w:p>
        </w:tc>
        <w:tc>
          <w:tcPr>
            <w:tcW w:type="dxa" w:w="3360"/>
            <w:vAlign w:val="center"/>
          </w:tcPr>
          <w:p>
            <w:pPr>
              <w:spacing w:after="40"/>
            </w:pPr>
            <w:r>
              <w:rPr>
                <w:rFonts w:ascii="Arial" w:hAnsi="Arial"/>
                <w:sz w:val="17"/>
              </w:rPr>
            </w:r>
            <w:r>
              <w:rPr>
                <w:rFonts w:ascii="Arial" w:hAnsi="Arial"/>
                <w:b w:val="0"/>
                <w:sz w:val="17"/>
              </w:rPr>
              <w:t>Compliance binder and digital backup.</w:t>
            </w:r>
          </w:p>
        </w:tc>
      </w:tr>
      <w:tr>
        <w:tc>
          <w:tcPr>
            <w:tcW w:type="dxa" w:w="3360"/>
            <w:vAlign w:val="center"/>
          </w:tcPr>
          <w:p>
            <w:pPr>
              <w:spacing w:after="40"/>
            </w:pPr>
            <w:r>
              <w:rPr>
                <w:rFonts w:ascii="Arial" w:hAnsi="Arial"/>
                <w:sz w:val="17"/>
              </w:rPr>
            </w:r>
            <w:r>
              <w:rPr>
                <w:rFonts w:ascii="Arial" w:hAnsi="Arial"/>
                <w:b w:val="0"/>
                <w:sz w:val="17"/>
              </w:rPr>
              <w:t>Shared-use accountability</w:t>
            </w:r>
          </w:p>
        </w:tc>
        <w:tc>
          <w:tcPr>
            <w:tcW w:type="dxa" w:w="3360"/>
            <w:vAlign w:val="center"/>
          </w:tcPr>
          <w:p>
            <w:pPr>
              <w:spacing w:after="40"/>
            </w:pPr>
            <w:r>
              <w:rPr>
                <w:rFonts w:ascii="Arial" w:hAnsi="Arial"/>
                <w:sz w:val="17"/>
              </w:rPr>
            </w:r>
            <w:r>
              <w:rPr>
                <w:rFonts w:ascii="Arial" w:hAnsi="Arial"/>
                <w:b w:val="0"/>
                <w:sz w:val="17"/>
              </w:rPr>
              <w:t>User agreements, storage assignments, schedules, cleaning verification, damage/incident reporting.</w:t>
            </w:r>
          </w:p>
        </w:tc>
        <w:tc>
          <w:tcPr>
            <w:tcW w:type="dxa" w:w="3360"/>
            <w:vAlign w:val="center"/>
          </w:tcPr>
          <w:p>
            <w:pPr>
              <w:spacing w:after="40"/>
            </w:pPr>
            <w:r>
              <w:rPr>
                <w:rFonts w:ascii="Arial" w:hAnsi="Arial"/>
                <w:sz w:val="17"/>
              </w:rPr>
            </w:r>
            <w:r>
              <w:rPr>
                <w:rFonts w:ascii="Arial" w:hAnsi="Arial"/>
                <w:b w:val="0"/>
                <w:sz w:val="17"/>
              </w:rPr>
              <w:t>Vendor files, access logs, cleaning logs, chargebacks if applicable.</w:t>
            </w:r>
          </w:p>
        </w:tc>
      </w:tr>
    </w:tbl>
    <w:p/>
    <w:p>
      <w:pPr>
        <w:pStyle w:val="Heading1"/>
      </w:pPr>
      <w:r>
        <w:t>2. Physical Layout and Workflow</w:t>
      </w:r>
    </w:p>
    <w:p>
      <w:r>
        <w:t>The preferred flow is receiving -&gt; storage -&gt; prep -&gt; cooking -&gt; cooling/reheating/holding -&gt; plating/service/packaging -&gt; dishwashing/cleaning. Layout decisions should reduce cross-traffic, backtracking, and ambiguity. Raw food, ready-to-eat food, allergens, chemicals, dirty wares, waste, and clean equipment should have clearly separated paths whenever feasible.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5F"/>
          </w:tcPr>
          <w:p>
            <w:pPr>
              <w:spacing w:after="40"/>
            </w:pPr>
            <w:r>
              <w:rPr>
                <w:rFonts w:ascii="Arial" w:hAnsi="Arial"/>
                <w:sz w:val="17"/>
              </w:rPr>
            </w:r>
            <w:r>
              <w:rPr>
                <w:rFonts w:ascii="Arial" w:hAnsi="Arial"/>
                <w:b/>
                <w:color w:val="FFFFFF"/>
                <w:sz w:val="17"/>
              </w:rPr>
              <w:t>Zone</w:t>
            </w:r>
          </w:p>
        </w:tc>
        <w:tc>
          <w:tcPr>
            <w:tcW w:type="dxa" w:w="2520"/>
            <w:vAlign w:val="center"/>
            <w:shd w:fill="1F4E5F"/>
          </w:tcPr>
          <w:p>
            <w:pPr>
              <w:spacing w:after="40"/>
            </w:pPr>
            <w:r>
              <w:rPr>
                <w:rFonts w:ascii="Arial" w:hAnsi="Arial"/>
                <w:sz w:val="17"/>
              </w:rPr>
            </w:r>
            <w:r>
              <w:rPr>
                <w:rFonts w:ascii="Arial" w:hAnsi="Arial"/>
                <w:b/>
                <w:color w:val="FFFFFF"/>
                <w:sz w:val="17"/>
              </w:rPr>
              <w:t>Purpose</w:t>
            </w:r>
          </w:p>
        </w:tc>
        <w:tc>
          <w:tcPr>
            <w:tcW w:type="dxa" w:w="2520"/>
            <w:vAlign w:val="center"/>
            <w:shd w:fill="1F4E5F"/>
          </w:tcPr>
          <w:p>
            <w:pPr>
              <w:spacing w:after="40"/>
            </w:pPr>
            <w:r>
              <w:rPr>
                <w:rFonts w:ascii="Arial" w:hAnsi="Arial"/>
                <w:sz w:val="17"/>
              </w:rPr>
            </w:r>
            <w:r>
              <w:rPr>
                <w:rFonts w:ascii="Arial" w:hAnsi="Arial"/>
                <w:b/>
                <w:color w:val="FFFFFF"/>
                <w:sz w:val="17"/>
              </w:rPr>
              <w:t>Dependencies</w:t>
            </w:r>
          </w:p>
        </w:tc>
        <w:tc>
          <w:tcPr>
            <w:tcW w:type="dxa" w:w="2520"/>
            <w:vAlign w:val="center"/>
            <w:shd w:fill="1F4E5F"/>
          </w:tcPr>
          <w:p>
            <w:pPr>
              <w:spacing w:after="40"/>
            </w:pPr>
            <w:r>
              <w:rPr>
                <w:rFonts w:ascii="Arial" w:hAnsi="Arial"/>
                <w:sz w:val="17"/>
              </w:rPr>
            </w:r>
            <w:r>
              <w:rPr>
                <w:rFonts w:ascii="Arial" w:hAnsi="Arial"/>
                <w:b/>
                <w:color w:val="FFFFFF"/>
                <w:sz w:val="17"/>
              </w:rPr>
              <w:t>Critical Control Points</w:t>
            </w:r>
          </w:p>
        </w:tc>
      </w:tr>
      <w:tr>
        <w:tc>
          <w:tcPr>
            <w:tcW w:type="dxa" w:w="2520"/>
            <w:vAlign w:val="center"/>
          </w:tcPr>
          <w:p>
            <w:pPr>
              <w:spacing w:after="40"/>
            </w:pPr>
            <w:r>
              <w:rPr>
                <w:rFonts w:ascii="Arial" w:hAnsi="Arial"/>
                <w:sz w:val="17"/>
              </w:rPr>
            </w:r>
            <w:r>
              <w:rPr>
                <w:rFonts w:ascii="Arial" w:hAnsi="Arial"/>
                <w:b w:val="0"/>
                <w:sz w:val="17"/>
              </w:rPr>
              <w:t>Receiving</w:t>
            </w:r>
          </w:p>
        </w:tc>
        <w:tc>
          <w:tcPr>
            <w:tcW w:type="dxa" w:w="2520"/>
            <w:vAlign w:val="center"/>
          </w:tcPr>
          <w:p>
            <w:pPr>
              <w:spacing w:after="40"/>
            </w:pPr>
            <w:r>
              <w:rPr>
                <w:rFonts w:ascii="Arial" w:hAnsi="Arial"/>
                <w:sz w:val="17"/>
              </w:rPr>
            </w:r>
            <w:r>
              <w:rPr>
                <w:rFonts w:ascii="Arial" w:hAnsi="Arial"/>
                <w:b w:val="0"/>
                <w:sz w:val="17"/>
              </w:rPr>
              <w:t>Accept or reject deliveries, verify supplier, condition, temperature, labels, and count.</w:t>
            </w:r>
          </w:p>
        </w:tc>
        <w:tc>
          <w:tcPr>
            <w:tcW w:type="dxa" w:w="2520"/>
            <w:vAlign w:val="center"/>
          </w:tcPr>
          <w:p>
            <w:pPr>
              <w:spacing w:after="40"/>
            </w:pPr>
            <w:r>
              <w:rPr>
                <w:rFonts w:ascii="Arial" w:hAnsi="Arial"/>
                <w:sz w:val="17"/>
              </w:rPr>
            </w:r>
            <w:r>
              <w:rPr>
                <w:rFonts w:ascii="Arial" w:hAnsi="Arial"/>
                <w:b w:val="0"/>
                <w:sz w:val="17"/>
              </w:rPr>
              <w:t>Dock/entry access, thermometer, receiving log, purchase order.</w:t>
            </w:r>
          </w:p>
        </w:tc>
        <w:tc>
          <w:tcPr>
            <w:tcW w:type="dxa" w:w="2520"/>
            <w:vAlign w:val="center"/>
          </w:tcPr>
          <w:p>
            <w:pPr>
              <w:spacing w:after="40"/>
            </w:pPr>
            <w:r>
              <w:rPr>
                <w:rFonts w:ascii="Arial" w:hAnsi="Arial"/>
                <w:sz w:val="17"/>
              </w:rPr>
            </w:r>
            <w:r>
              <w:rPr>
                <w:rFonts w:ascii="Arial" w:hAnsi="Arial"/>
                <w:b w:val="0"/>
                <w:sz w:val="17"/>
              </w:rPr>
              <w:t>Temperature checks, package integrity, allergen identity, rapid storage.</w:t>
            </w:r>
          </w:p>
        </w:tc>
      </w:tr>
      <w:tr>
        <w:tc>
          <w:tcPr>
            <w:tcW w:type="dxa" w:w="2520"/>
            <w:vAlign w:val="center"/>
          </w:tcPr>
          <w:p>
            <w:pPr>
              <w:spacing w:after="40"/>
            </w:pPr>
            <w:r>
              <w:rPr>
                <w:rFonts w:ascii="Arial" w:hAnsi="Arial"/>
                <w:sz w:val="17"/>
              </w:rPr>
            </w:r>
            <w:r>
              <w:rPr>
                <w:rFonts w:ascii="Arial" w:hAnsi="Arial"/>
                <w:b w:val="0"/>
                <w:sz w:val="17"/>
              </w:rPr>
              <w:t>Dry storage</w:t>
            </w:r>
          </w:p>
        </w:tc>
        <w:tc>
          <w:tcPr>
            <w:tcW w:type="dxa" w:w="2520"/>
            <w:vAlign w:val="center"/>
          </w:tcPr>
          <w:p>
            <w:pPr>
              <w:spacing w:after="40"/>
            </w:pPr>
            <w:r>
              <w:rPr>
                <w:rFonts w:ascii="Arial" w:hAnsi="Arial"/>
                <w:sz w:val="17"/>
              </w:rPr>
            </w:r>
            <w:r>
              <w:rPr>
                <w:rFonts w:ascii="Arial" w:hAnsi="Arial"/>
                <w:b w:val="0"/>
                <w:sz w:val="17"/>
              </w:rPr>
              <w:t>Hold shelf-stable food, disposables, smallwares, and non-food supplies.</w:t>
            </w:r>
          </w:p>
        </w:tc>
        <w:tc>
          <w:tcPr>
            <w:tcW w:type="dxa" w:w="2520"/>
            <w:vAlign w:val="center"/>
          </w:tcPr>
          <w:p>
            <w:pPr>
              <w:spacing w:after="40"/>
            </w:pPr>
            <w:r>
              <w:rPr>
                <w:rFonts w:ascii="Arial" w:hAnsi="Arial"/>
                <w:sz w:val="17"/>
              </w:rPr>
            </w:r>
            <w:r>
              <w:rPr>
                <w:rFonts w:ascii="Arial" w:hAnsi="Arial"/>
                <w:b w:val="0"/>
                <w:sz w:val="17"/>
              </w:rPr>
              <w:t>Shelving, labels, pest control, chemical separation.</w:t>
            </w:r>
          </w:p>
        </w:tc>
        <w:tc>
          <w:tcPr>
            <w:tcW w:type="dxa" w:w="2520"/>
            <w:vAlign w:val="center"/>
          </w:tcPr>
          <w:p>
            <w:pPr>
              <w:spacing w:after="40"/>
            </w:pPr>
            <w:r>
              <w:rPr>
                <w:rFonts w:ascii="Arial" w:hAnsi="Arial"/>
                <w:sz w:val="17"/>
              </w:rPr>
            </w:r>
            <w:r>
              <w:rPr>
                <w:rFonts w:ascii="Arial" w:hAnsi="Arial"/>
                <w:b w:val="0"/>
                <w:sz w:val="17"/>
              </w:rPr>
              <w:t>Food off floor, FIFO, allergen segregation, date/owner labels.</w:t>
            </w:r>
          </w:p>
        </w:tc>
      </w:tr>
      <w:tr>
        <w:tc>
          <w:tcPr>
            <w:tcW w:type="dxa" w:w="2520"/>
            <w:vAlign w:val="center"/>
          </w:tcPr>
          <w:p>
            <w:pPr>
              <w:spacing w:after="40"/>
            </w:pPr>
            <w:r>
              <w:rPr>
                <w:rFonts w:ascii="Arial" w:hAnsi="Arial"/>
                <w:sz w:val="17"/>
              </w:rPr>
            </w:r>
            <w:r>
              <w:rPr>
                <w:rFonts w:ascii="Arial" w:hAnsi="Arial"/>
                <w:b w:val="0"/>
                <w:sz w:val="17"/>
              </w:rPr>
              <w:t>Cold/frozen storage</w:t>
            </w:r>
          </w:p>
        </w:tc>
        <w:tc>
          <w:tcPr>
            <w:tcW w:type="dxa" w:w="2520"/>
            <w:vAlign w:val="center"/>
          </w:tcPr>
          <w:p>
            <w:pPr>
              <w:spacing w:after="40"/>
            </w:pPr>
            <w:r>
              <w:rPr>
                <w:rFonts w:ascii="Arial" w:hAnsi="Arial"/>
                <w:sz w:val="17"/>
              </w:rPr>
            </w:r>
            <w:r>
              <w:rPr>
                <w:rFonts w:ascii="Arial" w:hAnsi="Arial"/>
                <w:b w:val="0"/>
                <w:sz w:val="17"/>
              </w:rPr>
              <w:t>Hold TCS ingredients, proteins, dairy, produce, prepped foods, frozen goods.</w:t>
            </w:r>
          </w:p>
        </w:tc>
        <w:tc>
          <w:tcPr>
            <w:tcW w:type="dxa" w:w="2520"/>
            <w:vAlign w:val="center"/>
          </w:tcPr>
          <w:p>
            <w:pPr>
              <w:spacing w:after="40"/>
            </w:pPr>
            <w:r>
              <w:rPr>
                <w:rFonts w:ascii="Arial" w:hAnsi="Arial"/>
                <w:sz w:val="17"/>
              </w:rPr>
            </w:r>
            <w:r>
              <w:rPr>
                <w:rFonts w:ascii="Arial" w:hAnsi="Arial"/>
                <w:b w:val="0"/>
                <w:sz w:val="17"/>
              </w:rPr>
              <w:t>Thermometers, storage map, raw/RTE hierarchy, backup plan.</w:t>
            </w:r>
          </w:p>
        </w:tc>
        <w:tc>
          <w:tcPr>
            <w:tcW w:type="dxa" w:w="2520"/>
            <w:vAlign w:val="center"/>
          </w:tcPr>
          <w:p>
            <w:pPr>
              <w:spacing w:after="40"/>
            </w:pPr>
            <w:r>
              <w:rPr>
                <w:rFonts w:ascii="Arial" w:hAnsi="Arial"/>
                <w:sz w:val="17"/>
              </w:rPr>
            </w:r>
            <w:r>
              <w:rPr>
                <w:rFonts w:ascii="Arial" w:hAnsi="Arial"/>
                <w:b w:val="0"/>
                <w:sz w:val="17"/>
              </w:rPr>
              <w:t>Cold-holding range, covered containers, thawing control, raw below RTE.</w:t>
            </w:r>
          </w:p>
        </w:tc>
      </w:tr>
      <w:tr>
        <w:tc>
          <w:tcPr>
            <w:tcW w:type="dxa" w:w="2520"/>
            <w:vAlign w:val="center"/>
          </w:tcPr>
          <w:p>
            <w:pPr>
              <w:spacing w:after="40"/>
            </w:pPr>
            <w:r>
              <w:rPr>
                <w:rFonts w:ascii="Arial" w:hAnsi="Arial"/>
                <w:sz w:val="17"/>
              </w:rPr>
            </w:r>
            <w:r>
              <w:rPr>
                <w:rFonts w:ascii="Arial" w:hAnsi="Arial"/>
                <w:b w:val="0"/>
                <w:sz w:val="17"/>
              </w:rPr>
              <w:t>Prep</w:t>
            </w:r>
          </w:p>
        </w:tc>
        <w:tc>
          <w:tcPr>
            <w:tcW w:type="dxa" w:w="2520"/>
            <w:vAlign w:val="center"/>
          </w:tcPr>
          <w:p>
            <w:pPr>
              <w:spacing w:after="40"/>
            </w:pPr>
            <w:r>
              <w:rPr>
                <w:rFonts w:ascii="Arial" w:hAnsi="Arial"/>
                <w:sz w:val="17"/>
              </w:rPr>
            </w:r>
            <w:r>
              <w:rPr>
                <w:rFonts w:ascii="Arial" w:hAnsi="Arial"/>
                <w:b w:val="0"/>
                <w:sz w:val="17"/>
              </w:rPr>
              <w:t>Wash, cut, mix, portion, thaw, marinate, assemble, label, and stage mise en place.</w:t>
            </w:r>
          </w:p>
        </w:tc>
        <w:tc>
          <w:tcPr>
            <w:tcW w:type="dxa" w:w="2520"/>
            <w:vAlign w:val="center"/>
          </w:tcPr>
          <w:p>
            <w:pPr>
              <w:spacing w:after="40"/>
            </w:pPr>
            <w:r>
              <w:rPr>
                <w:rFonts w:ascii="Arial" w:hAnsi="Arial"/>
                <w:sz w:val="17"/>
              </w:rPr>
            </w:r>
            <w:r>
              <w:rPr>
                <w:rFonts w:ascii="Arial" w:hAnsi="Arial"/>
                <w:b w:val="0"/>
                <w:sz w:val="17"/>
              </w:rPr>
              <w:t>Hand sink, prep sinks where required, sanitized tools, recipe cards.</w:t>
            </w:r>
          </w:p>
        </w:tc>
        <w:tc>
          <w:tcPr>
            <w:tcW w:type="dxa" w:w="2520"/>
            <w:vAlign w:val="center"/>
          </w:tcPr>
          <w:p>
            <w:pPr>
              <w:spacing w:after="40"/>
            </w:pPr>
            <w:r>
              <w:rPr>
                <w:rFonts w:ascii="Arial" w:hAnsi="Arial"/>
                <w:sz w:val="17"/>
              </w:rPr>
            </w:r>
            <w:r>
              <w:rPr>
                <w:rFonts w:ascii="Arial" w:hAnsi="Arial"/>
                <w:b w:val="0"/>
                <w:sz w:val="17"/>
              </w:rPr>
              <w:t>Handwashing, surface sanitation, allergen control, time out of temperature control.</w:t>
            </w:r>
          </w:p>
        </w:tc>
      </w:tr>
      <w:tr>
        <w:tc>
          <w:tcPr>
            <w:tcW w:type="dxa" w:w="2520"/>
            <w:vAlign w:val="center"/>
          </w:tcPr>
          <w:p>
            <w:pPr>
              <w:spacing w:after="40"/>
            </w:pPr>
            <w:r>
              <w:rPr>
                <w:rFonts w:ascii="Arial" w:hAnsi="Arial"/>
                <w:sz w:val="17"/>
              </w:rPr>
            </w:r>
            <w:r>
              <w:rPr>
                <w:rFonts w:ascii="Arial" w:hAnsi="Arial"/>
                <w:b w:val="0"/>
                <w:sz w:val="17"/>
              </w:rPr>
              <w:t>Cooking</w:t>
            </w:r>
          </w:p>
        </w:tc>
        <w:tc>
          <w:tcPr>
            <w:tcW w:type="dxa" w:w="2520"/>
            <w:vAlign w:val="center"/>
          </w:tcPr>
          <w:p>
            <w:pPr>
              <w:spacing w:after="40"/>
            </w:pPr>
            <w:r>
              <w:rPr>
                <w:rFonts w:ascii="Arial" w:hAnsi="Arial"/>
                <w:sz w:val="17"/>
              </w:rPr>
            </w:r>
            <w:r>
              <w:rPr>
                <w:rFonts w:ascii="Arial" w:hAnsi="Arial"/>
                <w:b w:val="0"/>
                <w:sz w:val="17"/>
              </w:rPr>
              <w:t>Cook products to approved standards and recipe specifications.</w:t>
            </w:r>
          </w:p>
        </w:tc>
        <w:tc>
          <w:tcPr>
            <w:tcW w:type="dxa" w:w="2520"/>
            <w:vAlign w:val="center"/>
          </w:tcPr>
          <w:p>
            <w:pPr>
              <w:spacing w:after="40"/>
            </w:pPr>
            <w:r>
              <w:rPr>
                <w:rFonts w:ascii="Arial" w:hAnsi="Arial"/>
                <w:sz w:val="17"/>
              </w:rPr>
            </w:r>
            <w:r>
              <w:rPr>
                <w:rFonts w:ascii="Arial" w:hAnsi="Arial"/>
                <w:b w:val="0"/>
                <w:sz w:val="17"/>
              </w:rPr>
              <w:t>Hood, fire suppression, calibrated thermometer, trained station staff.</w:t>
            </w:r>
          </w:p>
        </w:tc>
        <w:tc>
          <w:tcPr>
            <w:tcW w:type="dxa" w:w="2520"/>
            <w:vAlign w:val="center"/>
          </w:tcPr>
          <w:p>
            <w:pPr>
              <w:spacing w:after="40"/>
            </w:pPr>
            <w:r>
              <w:rPr>
                <w:rFonts w:ascii="Arial" w:hAnsi="Arial"/>
                <w:sz w:val="17"/>
              </w:rPr>
            </w:r>
            <w:r>
              <w:rPr>
                <w:rFonts w:ascii="Arial" w:hAnsi="Arial"/>
                <w:b w:val="0"/>
                <w:sz w:val="17"/>
              </w:rPr>
              <w:t>Cooking temperatures, hot equipment safety, batch traceability.</w:t>
            </w:r>
          </w:p>
        </w:tc>
      </w:tr>
      <w:tr>
        <w:tc>
          <w:tcPr>
            <w:tcW w:type="dxa" w:w="2520"/>
            <w:vAlign w:val="center"/>
          </w:tcPr>
          <w:p>
            <w:pPr>
              <w:spacing w:after="40"/>
            </w:pPr>
            <w:r>
              <w:rPr>
                <w:rFonts w:ascii="Arial" w:hAnsi="Arial"/>
                <w:sz w:val="17"/>
              </w:rPr>
            </w:r>
            <w:r>
              <w:rPr>
                <w:rFonts w:ascii="Arial" w:hAnsi="Arial"/>
                <w:b w:val="0"/>
                <w:sz w:val="17"/>
              </w:rPr>
              <w:t>Cooling/reheating</w:t>
            </w:r>
          </w:p>
        </w:tc>
        <w:tc>
          <w:tcPr>
            <w:tcW w:type="dxa" w:w="2520"/>
            <w:vAlign w:val="center"/>
          </w:tcPr>
          <w:p>
            <w:pPr>
              <w:spacing w:after="40"/>
            </w:pPr>
            <w:r>
              <w:rPr>
                <w:rFonts w:ascii="Arial" w:hAnsi="Arial"/>
                <w:sz w:val="17"/>
              </w:rPr>
            </w:r>
            <w:r>
              <w:rPr>
                <w:rFonts w:ascii="Arial" w:hAnsi="Arial"/>
                <w:b w:val="0"/>
                <w:sz w:val="17"/>
              </w:rPr>
              <w:t>Safely cool cooked foods for later use and reheat for service.</w:t>
            </w:r>
          </w:p>
        </w:tc>
        <w:tc>
          <w:tcPr>
            <w:tcW w:type="dxa" w:w="2520"/>
            <w:vAlign w:val="center"/>
          </w:tcPr>
          <w:p>
            <w:pPr>
              <w:spacing w:after="40"/>
            </w:pPr>
            <w:r>
              <w:rPr>
                <w:rFonts w:ascii="Arial" w:hAnsi="Arial"/>
                <w:sz w:val="17"/>
              </w:rPr>
            </w:r>
            <w:r>
              <w:rPr>
                <w:rFonts w:ascii="Arial" w:hAnsi="Arial"/>
                <w:b w:val="0"/>
                <w:sz w:val="17"/>
              </w:rPr>
              <w:t>Shallow pans, blast/chill capacity if used, cooling log, timer.</w:t>
            </w:r>
          </w:p>
        </w:tc>
        <w:tc>
          <w:tcPr>
            <w:tcW w:type="dxa" w:w="2520"/>
            <w:vAlign w:val="center"/>
          </w:tcPr>
          <w:p>
            <w:pPr>
              <w:spacing w:after="40"/>
            </w:pPr>
            <w:r>
              <w:rPr>
                <w:rFonts w:ascii="Arial" w:hAnsi="Arial"/>
                <w:sz w:val="17"/>
              </w:rPr>
            </w:r>
            <w:r>
              <w:rPr>
                <w:rFonts w:ascii="Arial" w:hAnsi="Arial"/>
                <w:b w:val="0"/>
                <w:sz w:val="17"/>
              </w:rPr>
              <w:t>Time/temperature monitoring and corrective action.</w:t>
            </w:r>
          </w:p>
        </w:tc>
      </w:tr>
      <w:tr>
        <w:tc>
          <w:tcPr>
            <w:tcW w:type="dxa" w:w="2520"/>
            <w:vAlign w:val="center"/>
          </w:tcPr>
          <w:p>
            <w:pPr>
              <w:spacing w:after="40"/>
            </w:pPr>
            <w:r>
              <w:rPr>
                <w:rFonts w:ascii="Arial" w:hAnsi="Arial"/>
                <w:sz w:val="17"/>
              </w:rPr>
            </w:r>
            <w:r>
              <w:rPr>
                <w:rFonts w:ascii="Arial" w:hAnsi="Arial"/>
                <w:b w:val="0"/>
                <w:sz w:val="17"/>
              </w:rPr>
              <w:t>Holding/service/packaging</w:t>
            </w:r>
          </w:p>
        </w:tc>
        <w:tc>
          <w:tcPr>
            <w:tcW w:type="dxa" w:w="2520"/>
            <w:vAlign w:val="center"/>
          </w:tcPr>
          <w:p>
            <w:pPr>
              <w:spacing w:after="40"/>
            </w:pPr>
            <w:r>
              <w:rPr>
                <w:rFonts w:ascii="Arial" w:hAnsi="Arial"/>
                <w:sz w:val="17"/>
              </w:rPr>
            </w:r>
            <w:r>
              <w:rPr>
                <w:rFonts w:ascii="Arial" w:hAnsi="Arial"/>
                <w:b w:val="0"/>
                <w:sz w:val="17"/>
              </w:rPr>
              <w:t>Maintain food safety and quality until served, plated, packed, or transferred.</w:t>
            </w:r>
          </w:p>
        </w:tc>
        <w:tc>
          <w:tcPr>
            <w:tcW w:type="dxa" w:w="2520"/>
            <w:vAlign w:val="center"/>
          </w:tcPr>
          <w:p>
            <w:pPr>
              <w:spacing w:after="40"/>
            </w:pPr>
            <w:r>
              <w:rPr>
                <w:rFonts w:ascii="Arial" w:hAnsi="Arial"/>
                <w:sz w:val="17"/>
              </w:rPr>
            </w:r>
            <w:r>
              <w:rPr>
                <w:rFonts w:ascii="Arial" w:hAnsi="Arial"/>
                <w:b w:val="0"/>
                <w:sz w:val="17"/>
              </w:rPr>
              <w:t>Hot/cold holding, expo, packaging, allergen communication.</w:t>
            </w:r>
          </w:p>
        </w:tc>
        <w:tc>
          <w:tcPr>
            <w:tcW w:type="dxa" w:w="2520"/>
            <w:vAlign w:val="center"/>
          </w:tcPr>
          <w:p>
            <w:pPr>
              <w:spacing w:after="40"/>
            </w:pPr>
            <w:r>
              <w:rPr>
                <w:rFonts w:ascii="Arial" w:hAnsi="Arial"/>
                <w:sz w:val="17"/>
              </w:rPr>
            </w:r>
            <w:r>
              <w:rPr>
                <w:rFonts w:ascii="Arial" w:hAnsi="Arial"/>
                <w:b w:val="0"/>
                <w:sz w:val="17"/>
              </w:rPr>
              <w:t>Holding temperatures, time marking, final quality check.</w:t>
            </w:r>
          </w:p>
        </w:tc>
      </w:tr>
      <w:tr>
        <w:tc>
          <w:tcPr>
            <w:tcW w:type="dxa" w:w="2520"/>
            <w:vAlign w:val="center"/>
          </w:tcPr>
          <w:p>
            <w:pPr>
              <w:spacing w:after="40"/>
            </w:pPr>
            <w:r>
              <w:rPr>
                <w:rFonts w:ascii="Arial" w:hAnsi="Arial"/>
                <w:sz w:val="17"/>
              </w:rPr>
            </w:r>
            <w:r>
              <w:rPr>
                <w:rFonts w:ascii="Arial" w:hAnsi="Arial"/>
                <w:b w:val="0"/>
                <w:sz w:val="17"/>
              </w:rPr>
              <w:t>Dish/cleaning</w:t>
            </w:r>
          </w:p>
        </w:tc>
        <w:tc>
          <w:tcPr>
            <w:tcW w:type="dxa" w:w="2520"/>
            <w:vAlign w:val="center"/>
          </w:tcPr>
          <w:p>
            <w:pPr>
              <w:spacing w:after="40"/>
            </w:pPr>
            <w:r>
              <w:rPr>
                <w:rFonts w:ascii="Arial" w:hAnsi="Arial"/>
                <w:sz w:val="17"/>
              </w:rPr>
            </w:r>
            <w:r>
              <w:rPr>
                <w:rFonts w:ascii="Arial" w:hAnsi="Arial"/>
                <w:b w:val="0"/>
                <w:sz w:val="17"/>
              </w:rPr>
              <w:t>Wash, rinse, sanitize, air dry, store clean wares; clean facility.</w:t>
            </w:r>
          </w:p>
        </w:tc>
        <w:tc>
          <w:tcPr>
            <w:tcW w:type="dxa" w:w="2520"/>
            <w:vAlign w:val="center"/>
          </w:tcPr>
          <w:p>
            <w:pPr>
              <w:spacing w:after="40"/>
            </w:pPr>
            <w:r>
              <w:rPr>
                <w:rFonts w:ascii="Arial" w:hAnsi="Arial"/>
                <w:sz w:val="17"/>
              </w:rPr>
            </w:r>
            <w:r>
              <w:rPr>
                <w:rFonts w:ascii="Arial" w:hAnsi="Arial"/>
                <w:b w:val="0"/>
                <w:sz w:val="17"/>
              </w:rPr>
              <w:t>Dish machine/3-compartment sink, chemicals, drying racks.</w:t>
            </w:r>
          </w:p>
        </w:tc>
        <w:tc>
          <w:tcPr>
            <w:tcW w:type="dxa" w:w="2520"/>
            <w:vAlign w:val="center"/>
          </w:tcPr>
          <w:p>
            <w:pPr>
              <w:spacing w:after="40"/>
            </w:pPr>
            <w:r>
              <w:rPr>
                <w:rFonts w:ascii="Arial" w:hAnsi="Arial"/>
                <w:sz w:val="17"/>
              </w:rPr>
            </w:r>
            <w:r>
              <w:rPr>
                <w:rFonts w:ascii="Arial" w:hAnsi="Arial"/>
                <w:b w:val="0"/>
                <w:sz w:val="17"/>
              </w:rPr>
              <w:t>Sanitizer concentration, dirty-to-clean flow, chemical safety.</w:t>
            </w:r>
          </w:p>
        </w:tc>
      </w:tr>
    </w:tbl>
    <w:p/>
    <w:p>
      <w:pPr>
        <w:pStyle w:val="Heading2"/>
      </w:pPr>
      <w:r>
        <w:t>2.1 Layout and Adjacency Principles</w:t>
      </w:r>
    </w:p>
    <w:p>
      <w:pPr>
        <w:pStyle w:val="ListBullet"/>
      </w:pPr>
      <w:r>
        <w:t>Receiving should connect quickly to storage without routing deliveries through active plating or customer-facing service.</w:t>
      </w:r>
    </w:p>
    <w:p>
      <w:pPr>
        <w:pStyle w:val="ListBullet"/>
      </w:pPr>
      <w:r>
        <w:t>Raw animal protein prep should be physically or procedurally separated from ready-to-eat prep, bakery, packaging, and allergen-sensitive work.</w:t>
      </w:r>
    </w:p>
    <w:p>
      <w:pPr>
        <w:pStyle w:val="ListBullet"/>
      </w:pPr>
      <w:r>
        <w:t>Clean wares should exit dishwashing into protected storage, not into the dirty dish return path.</w:t>
      </w:r>
    </w:p>
    <w:p>
      <w:pPr>
        <w:pStyle w:val="ListBullet"/>
      </w:pPr>
      <w:r>
        <w:t>Chemicals and maintenance supplies must be stored away from food, food-contact surfaces, single-service items, and retail products.</w:t>
      </w:r>
    </w:p>
    <w:p>
      <w:pPr>
        <w:pStyle w:val="ListBullet"/>
      </w:pPr>
      <w:r>
        <w:t>Shared-use kitchens need visible storage assignments, user-specific labels, and scheduling rules to prevent operators from using one another's ingredients or tools.</w:t>
      </w:r>
    </w:p>
    <w:p>
      <w:pPr>
        <w:pStyle w:val="ListBullet"/>
      </w:pPr>
      <w:r>
        <w:t>Allergen-sensitive production should be scheduled, tooled, labeled, and cleaned with extra control; where possible, produce allergen-sensitive batches before allergen-heavy batches.</w:t>
      </w:r>
    </w:p>
    <w:p>
      <w:pPr>
        <w:pStyle w:val="ListBullet"/>
      </w:pPr>
      <w:r>
        <w:t>Staff circulation should not force cooks to cross dish return, trash, or mop-sink areas while carrying finished food.</w:t>
      </w:r>
    </w:p>
    <w:p>
      <w:pPr>
        <w:pStyle w:val="Heading2"/>
      </w:pPr>
      <w:r>
        <w:t>2.2 New Mexico Shared-Kitchen Benchmark - The Kitchen Table Santa Fe</w:t>
      </w:r>
    </w:p>
    <w:p>
      <w:r>
        <w:t>The Kitchen Table Santa Fe provides a practical New Mexico benchmark for shared commercial kitchen planning. Its public materials describe an accessible, affordable commercial kitchen for food entrepreneurs with 2,500 square feet of cooking and prep space, 14 rentable workstations, 24-hour/7-day access, a hot kitchen, two prep kitchens, dry storage lockers, walk-in refrigeration, walk-in freezer storage, personal lockers, dishwashing, freeze dryers, and event/pop-up dining capacity. The facility opened in May 2023 and reports 34 current members.</w:t>
      </w:r>
    </w:p>
    <w:p>
      <w:r>
        <w:t>For the Las Cruces Culinary Hub, the useful lesson is not to copy Santa Fe pricing or site design exactly. The transferable operating model is the combination of membership onboarding, required compliance documents, flexible storage add-ons, 24/7 scheduling controls, commercial-grade equipment, on-site management, security monitoring, deep cleaning, waste/grease handling, recycling/composting, and event-space integration.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5F"/>
          </w:tcPr>
          <w:p>
            <w:pPr>
              <w:spacing w:after="40"/>
            </w:pPr>
            <w:r>
              <w:rPr>
                <w:rFonts w:ascii="Arial" w:hAnsi="Arial"/>
                <w:sz w:val="17"/>
              </w:rPr>
            </w:r>
            <w:r>
              <w:rPr>
                <w:rFonts w:ascii="Arial" w:hAnsi="Arial"/>
                <w:b/>
                <w:color w:val="FFFFFF"/>
                <w:sz w:val="17"/>
              </w:rPr>
              <w:t>KTSF Benchmark Detail</w:t>
            </w:r>
          </w:p>
        </w:tc>
        <w:tc>
          <w:tcPr>
            <w:tcW w:type="dxa" w:w="5040"/>
            <w:vAlign w:val="center"/>
            <w:shd w:fill="1F4E5F"/>
          </w:tcPr>
          <w:p>
            <w:pPr>
              <w:spacing w:after="40"/>
            </w:pPr>
            <w:r>
              <w:rPr>
                <w:rFonts w:ascii="Arial" w:hAnsi="Arial"/>
                <w:sz w:val="17"/>
              </w:rPr>
            </w:r>
            <w:r>
              <w:rPr>
                <w:rFonts w:ascii="Arial" w:hAnsi="Arial"/>
                <w:b/>
                <w:color w:val="FFFFFF"/>
                <w:sz w:val="17"/>
              </w:rPr>
              <w:t>Operational Use for Las Cruces Culinary Hub</w:t>
            </w:r>
          </w:p>
        </w:tc>
      </w:tr>
      <w:tr>
        <w:tc>
          <w:tcPr>
            <w:tcW w:type="dxa" w:w="5040"/>
            <w:vAlign w:val="center"/>
          </w:tcPr>
          <w:p>
            <w:pPr>
              <w:spacing w:after="40"/>
            </w:pPr>
            <w:r>
              <w:rPr>
                <w:rFonts w:ascii="Arial" w:hAnsi="Arial"/>
                <w:sz w:val="17"/>
              </w:rPr>
            </w:r>
            <w:r>
              <w:rPr>
                <w:rFonts w:ascii="Arial" w:hAnsi="Arial"/>
                <w:b w:val="0"/>
                <w:sz w:val="17"/>
              </w:rPr>
              <w:t>Membership model with monthly included hours and add-on hours</w:t>
            </w:r>
          </w:p>
        </w:tc>
        <w:tc>
          <w:tcPr>
            <w:tcW w:type="dxa" w:w="5040"/>
            <w:vAlign w:val="center"/>
          </w:tcPr>
          <w:p>
            <w:pPr>
              <w:spacing w:after="40"/>
            </w:pPr>
            <w:r>
              <w:rPr>
                <w:rFonts w:ascii="Arial" w:hAnsi="Arial"/>
                <w:sz w:val="17"/>
              </w:rPr>
            </w:r>
            <w:r>
              <w:rPr>
                <w:rFonts w:ascii="Arial" w:hAnsi="Arial"/>
                <w:b w:val="0"/>
                <w:sz w:val="17"/>
              </w:rPr>
              <w:t>Use member tiers or vendor usage plans to control access, forecast labor/utilities, and prevent informal kitchen use.</w:t>
            </w:r>
          </w:p>
        </w:tc>
      </w:tr>
      <w:tr>
        <w:tc>
          <w:tcPr>
            <w:tcW w:type="dxa" w:w="5040"/>
            <w:vAlign w:val="center"/>
          </w:tcPr>
          <w:p>
            <w:pPr>
              <w:spacing w:after="40"/>
            </w:pPr>
            <w:r>
              <w:rPr>
                <w:rFonts w:ascii="Arial" w:hAnsi="Arial"/>
                <w:sz w:val="17"/>
              </w:rPr>
            </w:r>
            <w:r>
              <w:rPr>
                <w:rFonts w:ascii="Arial" w:hAnsi="Arial"/>
                <w:b w:val="0"/>
                <w:sz w:val="17"/>
              </w:rPr>
              <w:t>Required member agreement and security deposit</w:t>
            </w:r>
          </w:p>
        </w:tc>
        <w:tc>
          <w:tcPr>
            <w:tcW w:type="dxa" w:w="5040"/>
            <w:vAlign w:val="center"/>
          </w:tcPr>
          <w:p>
            <w:pPr>
              <w:spacing w:after="40"/>
            </w:pPr>
            <w:r>
              <w:rPr>
                <w:rFonts w:ascii="Arial" w:hAnsi="Arial"/>
                <w:sz w:val="17"/>
              </w:rPr>
            </w:r>
            <w:r>
              <w:rPr>
                <w:rFonts w:ascii="Arial" w:hAnsi="Arial"/>
                <w:b w:val="0"/>
                <w:sz w:val="17"/>
              </w:rPr>
              <w:t>Require a signed kitchen use agreement, rules acknowledgment, and deposit before access is granted.</w:t>
            </w:r>
          </w:p>
        </w:tc>
      </w:tr>
      <w:tr>
        <w:tc>
          <w:tcPr>
            <w:tcW w:type="dxa" w:w="5040"/>
            <w:vAlign w:val="center"/>
          </w:tcPr>
          <w:p>
            <w:pPr>
              <w:spacing w:after="40"/>
            </w:pPr>
            <w:r>
              <w:rPr>
                <w:rFonts w:ascii="Arial" w:hAnsi="Arial"/>
                <w:sz w:val="17"/>
              </w:rPr>
            </w:r>
            <w:r>
              <w:rPr>
                <w:rFonts w:ascii="Arial" w:hAnsi="Arial"/>
                <w:b w:val="0"/>
                <w:sz w:val="17"/>
              </w:rPr>
              <w:t>Food Manager certificate requirement</w:t>
            </w:r>
          </w:p>
        </w:tc>
        <w:tc>
          <w:tcPr>
            <w:tcW w:type="dxa" w:w="5040"/>
            <w:vAlign w:val="center"/>
          </w:tcPr>
          <w:p>
            <w:pPr>
              <w:spacing w:after="40"/>
            </w:pPr>
            <w:r>
              <w:rPr>
                <w:rFonts w:ascii="Arial" w:hAnsi="Arial"/>
                <w:sz w:val="17"/>
              </w:rPr>
            </w:r>
            <w:r>
              <w:rPr>
                <w:rFonts w:ascii="Arial" w:hAnsi="Arial"/>
                <w:b w:val="0"/>
                <w:sz w:val="17"/>
              </w:rPr>
              <w:t>Keep manager-level food safety certification records in each vendor/operator file.</w:t>
            </w:r>
          </w:p>
        </w:tc>
      </w:tr>
      <w:tr>
        <w:tc>
          <w:tcPr>
            <w:tcW w:type="dxa" w:w="5040"/>
            <w:vAlign w:val="center"/>
          </w:tcPr>
          <w:p>
            <w:pPr>
              <w:spacing w:after="40"/>
            </w:pPr>
            <w:r>
              <w:rPr>
                <w:rFonts w:ascii="Arial" w:hAnsi="Arial"/>
                <w:sz w:val="17"/>
              </w:rPr>
            </w:r>
            <w:r>
              <w:rPr>
                <w:rFonts w:ascii="Arial" w:hAnsi="Arial"/>
                <w:b w:val="0"/>
                <w:sz w:val="17"/>
              </w:rPr>
              <w:t>CRS number requirement</w:t>
            </w:r>
          </w:p>
        </w:tc>
        <w:tc>
          <w:tcPr>
            <w:tcW w:type="dxa" w:w="5040"/>
            <w:vAlign w:val="center"/>
          </w:tcPr>
          <w:p>
            <w:pPr>
              <w:spacing w:after="40"/>
            </w:pPr>
            <w:r>
              <w:rPr>
                <w:rFonts w:ascii="Arial" w:hAnsi="Arial"/>
                <w:sz w:val="17"/>
              </w:rPr>
            </w:r>
            <w:r>
              <w:rPr>
                <w:rFonts w:ascii="Arial" w:hAnsi="Arial"/>
                <w:b w:val="0"/>
                <w:sz w:val="17"/>
              </w:rPr>
              <w:t>Require New Mexico business tax registration evidence before commercial kitchen use.</w:t>
            </w:r>
          </w:p>
        </w:tc>
      </w:tr>
      <w:tr>
        <w:tc>
          <w:tcPr>
            <w:tcW w:type="dxa" w:w="5040"/>
            <w:vAlign w:val="center"/>
          </w:tcPr>
          <w:p>
            <w:pPr>
              <w:spacing w:after="40"/>
            </w:pPr>
            <w:r>
              <w:rPr>
                <w:rFonts w:ascii="Arial" w:hAnsi="Arial"/>
                <w:sz w:val="17"/>
              </w:rPr>
            </w:r>
            <w:r>
              <w:rPr>
                <w:rFonts w:ascii="Arial" w:hAnsi="Arial"/>
                <w:b w:val="0"/>
                <w:sz w:val="17"/>
              </w:rPr>
              <w:t>Health department food permit requirement</w:t>
            </w:r>
          </w:p>
        </w:tc>
        <w:tc>
          <w:tcPr>
            <w:tcW w:type="dxa" w:w="5040"/>
            <w:vAlign w:val="center"/>
          </w:tcPr>
          <w:p>
            <w:pPr>
              <w:spacing w:after="40"/>
            </w:pPr>
            <w:r>
              <w:rPr>
                <w:rFonts w:ascii="Arial" w:hAnsi="Arial"/>
                <w:sz w:val="17"/>
              </w:rPr>
            </w:r>
            <w:r>
              <w:rPr>
                <w:rFonts w:ascii="Arial" w:hAnsi="Arial"/>
                <w:b w:val="0"/>
                <w:sz w:val="17"/>
              </w:rPr>
              <w:t>Do not allow public food production until the operator's permit path is confirmed.</w:t>
            </w:r>
          </w:p>
        </w:tc>
      </w:tr>
      <w:tr>
        <w:tc>
          <w:tcPr>
            <w:tcW w:type="dxa" w:w="5040"/>
            <w:vAlign w:val="center"/>
          </w:tcPr>
          <w:p>
            <w:pPr>
              <w:spacing w:after="40"/>
            </w:pPr>
            <w:r>
              <w:rPr>
                <w:rFonts w:ascii="Arial" w:hAnsi="Arial"/>
                <w:sz w:val="17"/>
              </w:rPr>
            </w:r>
            <w:r>
              <w:rPr>
                <w:rFonts w:ascii="Arial" w:hAnsi="Arial"/>
                <w:b w:val="0"/>
                <w:sz w:val="17"/>
              </w:rPr>
              <w:t>Commercial general liability insurance with additional insured requirement</w:t>
            </w:r>
          </w:p>
        </w:tc>
        <w:tc>
          <w:tcPr>
            <w:tcW w:type="dxa" w:w="5040"/>
            <w:vAlign w:val="center"/>
          </w:tcPr>
          <w:p>
            <w:pPr>
              <w:spacing w:after="40"/>
            </w:pPr>
            <w:r>
              <w:rPr>
                <w:rFonts w:ascii="Arial" w:hAnsi="Arial"/>
                <w:sz w:val="17"/>
              </w:rPr>
            </w:r>
            <w:r>
              <w:rPr>
                <w:rFonts w:ascii="Arial" w:hAnsi="Arial"/>
                <w:b w:val="0"/>
                <w:sz w:val="17"/>
              </w:rPr>
              <w:t>Collect certificates of insurance and additional insured language before facility access.</w:t>
            </w:r>
          </w:p>
        </w:tc>
      </w:tr>
      <w:tr>
        <w:tc>
          <w:tcPr>
            <w:tcW w:type="dxa" w:w="5040"/>
            <w:vAlign w:val="center"/>
          </w:tcPr>
          <w:p>
            <w:pPr>
              <w:spacing w:after="40"/>
            </w:pPr>
            <w:r>
              <w:rPr>
                <w:rFonts w:ascii="Arial" w:hAnsi="Arial"/>
                <w:sz w:val="17"/>
              </w:rPr>
            </w:r>
            <w:r>
              <w:rPr>
                <w:rFonts w:ascii="Arial" w:hAnsi="Arial"/>
                <w:b w:val="0"/>
                <w:sz w:val="17"/>
              </w:rPr>
              <w:t>Local business license requirement</w:t>
            </w:r>
          </w:p>
        </w:tc>
        <w:tc>
          <w:tcPr>
            <w:tcW w:type="dxa" w:w="5040"/>
            <w:vAlign w:val="center"/>
          </w:tcPr>
          <w:p>
            <w:pPr>
              <w:spacing w:after="40"/>
            </w:pPr>
            <w:r>
              <w:rPr>
                <w:rFonts w:ascii="Arial" w:hAnsi="Arial"/>
                <w:sz w:val="17"/>
              </w:rPr>
            </w:r>
            <w:r>
              <w:rPr>
                <w:rFonts w:ascii="Arial" w:hAnsi="Arial"/>
                <w:b w:val="0"/>
                <w:sz w:val="17"/>
              </w:rPr>
              <w:t>Require Las Cruces or applicable municipal business registration before regular operations.</w:t>
            </w:r>
          </w:p>
        </w:tc>
      </w:tr>
      <w:tr>
        <w:tc>
          <w:tcPr>
            <w:tcW w:type="dxa" w:w="5040"/>
            <w:vAlign w:val="center"/>
          </w:tcPr>
          <w:p>
            <w:pPr>
              <w:spacing w:after="40"/>
            </w:pPr>
            <w:r>
              <w:rPr>
                <w:rFonts w:ascii="Arial" w:hAnsi="Arial"/>
                <w:sz w:val="17"/>
              </w:rPr>
            </w:r>
            <w:r>
              <w:rPr>
                <w:rFonts w:ascii="Arial" w:hAnsi="Arial"/>
                <w:b w:val="0"/>
                <w:sz w:val="17"/>
              </w:rPr>
              <w:t>24-hour access, video-monitored security, and scheduling via The Food Corridor</w:t>
            </w:r>
          </w:p>
        </w:tc>
        <w:tc>
          <w:tcPr>
            <w:tcW w:type="dxa" w:w="5040"/>
            <w:vAlign w:val="center"/>
          </w:tcPr>
          <w:p>
            <w:pPr>
              <w:spacing w:after="40"/>
            </w:pPr>
            <w:r>
              <w:rPr>
                <w:rFonts w:ascii="Arial" w:hAnsi="Arial"/>
                <w:sz w:val="17"/>
              </w:rPr>
            </w:r>
            <w:r>
              <w:rPr>
                <w:rFonts w:ascii="Arial" w:hAnsi="Arial"/>
                <w:b w:val="0"/>
                <w:sz w:val="17"/>
              </w:rPr>
              <w:t>Use controlled access, scheduling software, and camera/security policies for shared-use accountability.</w:t>
            </w:r>
          </w:p>
        </w:tc>
      </w:tr>
      <w:tr>
        <w:tc>
          <w:tcPr>
            <w:tcW w:type="dxa" w:w="5040"/>
            <w:vAlign w:val="center"/>
          </w:tcPr>
          <w:p>
            <w:pPr>
              <w:spacing w:after="40"/>
            </w:pPr>
            <w:r>
              <w:rPr>
                <w:rFonts w:ascii="Arial" w:hAnsi="Arial"/>
                <w:sz w:val="17"/>
              </w:rPr>
            </w:r>
            <w:r>
              <w:rPr>
                <w:rFonts w:ascii="Arial" w:hAnsi="Arial"/>
                <w:b w:val="0"/>
                <w:sz w:val="17"/>
              </w:rPr>
              <w:t>A la carte dry, refrigerated, freezer, and reach-in storage</w:t>
            </w:r>
          </w:p>
        </w:tc>
        <w:tc>
          <w:tcPr>
            <w:tcW w:type="dxa" w:w="5040"/>
            <w:vAlign w:val="center"/>
          </w:tcPr>
          <w:p>
            <w:pPr>
              <w:spacing w:after="40"/>
            </w:pPr>
            <w:r>
              <w:rPr>
                <w:rFonts w:ascii="Arial" w:hAnsi="Arial"/>
                <w:sz w:val="17"/>
              </w:rPr>
            </w:r>
            <w:r>
              <w:rPr>
                <w:rFonts w:ascii="Arial" w:hAnsi="Arial"/>
                <w:b w:val="0"/>
                <w:sz w:val="17"/>
              </w:rPr>
              <w:t>Price and assign storage separately from kitchen time; label all storage by operator.</w:t>
            </w:r>
          </w:p>
        </w:tc>
      </w:tr>
      <w:tr>
        <w:tc>
          <w:tcPr>
            <w:tcW w:type="dxa" w:w="5040"/>
            <w:vAlign w:val="center"/>
          </w:tcPr>
          <w:p>
            <w:pPr>
              <w:spacing w:after="40"/>
            </w:pPr>
            <w:r>
              <w:rPr>
                <w:rFonts w:ascii="Arial" w:hAnsi="Arial"/>
                <w:sz w:val="17"/>
              </w:rPr>
            </w:r>
            <w:r>
              <w:rPr>
                <w:rFonts w:ascii="Arial" w:hAnsi="Arial"/>
                <w:b w:val="0"/>
                <w:sz w:val="17"/>
              </w:rPr>
              <w:t>Event space and pop-up dining room</w:t>
            </w:r>
          </w:p>
        </w:tc>
        <w:tc>
          <w:tcPr>
            <w:tcW w:type="dxa" w:w="5040"/>
            <w:vAlign w:val="center"/>
          </w:tcPr>
          <w:p>
            <w:pPr>
              <w:spacing w:after="40"/>
            </w:pPr>
            <w:r>
              <w:rPr>
                <w:rFonts w:ascii="Arial" w:hAnsi="Arial"/>
                <w:sz w:val="17"/>
              </w:rPr>
            </w:r>
            <w:r>
              <w:rPr>
                <w:rFonts w:ascii="Arial" w:hAnsi="Arial"/>
                <w:b w:val="0"/>
                <w:sz w:val="17"/>
              </w:rPr>
              <w:t>Design the kitchen to support classes, pop-ups, tastings, vendor showcases, and sponsor/community events.</w:t>
            </w:r>
          </w:p>
        </w:tc>
      </w:tr>
    </w:tbl>
    <w:p/>
    <w:p>
      <w:pPr>
        <w:pStyle w:val="Heading3"/>
      </w:pPr>
      <w:r>
        <w:t>Commercial Kitchen Equipment Planning Notes From KTSF</w:t>
      </w:r>
    </w:p>
    <w:p>
      <w:r>
        <w:t>KTSF's published equipment list is useful as a planning reference for a shared kitchen that supports diverse operators. Relevant categories include mixers, tilting kettle, tilting skillet/braising pan, ice machines, worktop refrigeration, walk-in refrigerator, walk-in freezer, low-temperature dishwasher with pre-rinse, three-compartment and two-compartment sinks, hand sinks, stainless work tables, double convection ovens, gas ranges, charbroiler, utility carts, mop sink area, and freeze dryers.</w:t>
      </w:r>
    </w:p>
    <w:p>
      <w:r>
        <w:t>The Hub should treat this as a benchmark equipment palette, then right-size equipment by menu mix, vendor count, production volume, utility capacity, ventilation, cleaning load, and NMED/plan-review requirements. Specialty equipment such as freeze dryers should be justified by vendor demand, retail product strategy, training value, and maintenance cost.</w:t>
      </w:r>
    </w:p>
    <w:p>
      <w:pPr>
        <w:pStyle w:val="Heading1"/>
      </w:pPr>
      <w:r>
        <w:t>3. Regulatory Compliance and Food Safety</w:t>
      </w:r>
    </w:p>
    <w:p>
      <w:r>
        <w:t>New Mexico food operations should confirm permit class, plan-review expectations, inspection requirements, food handler/manager records, and operational rules with NMED or the applicable local authority before opening. This manual uses FDA Food Code and HACCP concepts as operating standards, but New Mexico rules and local permit conditions control.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Compliance Topic</w:t>
            </w:r>
          </w:p>
        </w:tc>
        <w:tc>
          <w:tcPr>
            <w:tcW w:type="dxa" w:w="3360"/>
            <w:vAlign w:val="center"/>
            <w:shd w:fill="1F4E5F"/>
          </w:tcPr>
          <w:p>
            <w:pPr>
              <w:spacing w:after="40"/>
            </w:pPr>
            <w:r>
              <w:rPr>
                <w:rFonts w:ascii="Arial" w:hAnsi="Arial"/>
                <w:sz w:val="17"/>
              </w:rPr>
            </w:r>
            <w:r>
              <w:rPr>
                <w:rFonts w:ascii="Arial" w:hAnsi="Arial"/>
                <w:b/>
                <w:color w:val="FFFFFF"/>
                <w:sz w:val="17"/>
              </w:rPr>
              <w:t>New Mexico Planning Claim</w:t>
            </w:r>
          </w:p>
        </w:tc>
        <w:tc>
          <w:tcPr>
            <w:tcW w:type="dxa" w:w="3360"/>
            <w:vAlign w:val="center"/>
            <w:shd w:fill="1F4E5F"/>
          </w:tcPr>
          <w:p>
            <w:pPr>
              <w:spacing w:after="40"/>
            </w:pPr>
            <w:r>
              <w:rPr>
                <w:rFonts w:ascii="Arial" w:hAnsi="Arial"/>
                <w:sz w:val="17"/>
              </w:rPr>
            </w:r>
            <w:r>
              <w:rPr>
                <w:rFonts w:ascii="Arial" w:hAnsi="Arial"/>
                <w:b/>
                <w:color w:val="FFFFFF"/>
                <w:sz w:val="17"/>
              </w:rPr>
              <w:t>Operational Requirement</w:t>
            </w:r>
          </w:p>
        </w:tc>
      </w:tr>
      <w:tr>
        <w:tc>
          <w:tcPr>
            <w:tcW w:type="dxa" w:w="3360"/>
            <w:vAlign w:val="center"/>
          </w:tcPr>
          <w:p>
            <w:pPr>
              <w:spacing w:after="40"/>
            </w:pPr>
            <w:r>
              <w:rPr>
                <w:rFonts w:ascii="Arial" w:hAnsi="Arial"/>
                <w:sz w:val="17"/>
              </w:rPr>
            </w:r>
            <w:r>
              <w:rPr>
                <w:rFonts w:ascii="Arial" w:hAnsi="Arial"/>
                <w:b w:val="0"/>
                <w:sz w:val="17"/>
              </w:rPr>
              <w:t>Food establishment permit</w:t>
            </w:r>
          </w:p>
        </w:tc>
        <w:tc>
          <w:tcPr>
            <w:tcW w:type="dxa" w:w="3360"/>
            <w:vAlign w:val="center"/>
          </w:tcPr>
          <w:p>
            <w:pPr>
              <w:spacing w:after="40"/>
            </w:pPr>
            <w:r>
              <w:rPr>
                <w:rFonts w:ascii="Arial" w:hAnsi="Arial"/>
                <w:sz w:val="17"/>
              </w:rPr>
            </w:r>
            <w:r>
              <w:rPr>
                <w:rFonts w:ascii="Arial" w:hAnsi="Arial"/>
                <w:b w:val="0"/>
                <w:sz w:val="17"/>
              </w:rPr>
              <w:t>Retail food establishments and related food operations generally require NMED/local permit review under New Mexico food rules.</w:t>
            </w:r>
          </w:p>
        </w:tc>
        <w:tc>
          <w:tcPr>
            <w:tcW w:type="dxa" w:w="3360"/>
            <w:vAlign w:val="center"/>
          </w:tcPr>
          <w:p>
            <w:pPr>
              <w:spacing w:after="40"/>
            </w:pPr>
            <w:r>
              <w:rPr>
                <w:rFonts w:ascii="Arial" w:hAnsi="Arial"/>
                <w:sz w:val="17"/>
              </w:rPr>
            </w:r>
            <w:r>
              <w:rPr>
                <w:rFonts w:ascii="Arial" w:hAnsi="Arial"/>
                <w:b w:val="0"/>
                <w:sz w:val="17"/>
              </w:rPr>
              <w:t>Confirm permit class before buildout; maintain permit and inspection records.</w:t>
            </w:r>
          </w:p>
        </w:tc>
      </w:tr>
      <w:tr>
        <w:tc>
          <w:tcPr>
            <w:tcW w:type="dxa" w:w="3360"/>
            <w:vAlign w:val="center"/>
          </w:tcPr>
          <w:p>
            <w:pPr>
              <w:spacing w:after="40"/>
            </w:pPr>
            <w:r>
              <w:rPr>
                <w:rFonts w:ascii="Arial" w:hAnsi="Arial"/>
                <w:sz w:val="17"/>
              </w:rPr>
            </w:r>
            <w:r>
              <w:rPr>
                <w:rFonts w:ascii="Arial" w:hAnsi="Arial"/>
                <w:b w:val="0"/>
                <w:sz w:val="17"/>
              </w:rPr>
              <w:t>Food code basis</w:t>
            </w:r>
          </w:p>
        </w:tc>
        <w:tc>
          <w:tcPr>
            <w:tcW w:type="dxa" w:w="3360"/>
            <w:vAlign w:val="center"/>
          </w:tcPr>
          <w:p>
            <w:pPr>
              <w:spacing w:after="40"/>
            </w:pPr>
            <w:r>
              <w:rPr>
                <w:rFonts w:ascii="Arial" w:hAnsi="Arial"/>
                <w:sz w:val="17"/>
              </w:rPr>
            </w:r>
            <w:r>
              <w:rPr>
                <w:rFonts w:ascii="Arial" w:hAnsi="Arial"/>
                <w:b w:val="0"/>
                <w:sz w:val="17"/>
              </w:rPr>
              <w:t>7.6.2.8 NMAC incorporates the 2017 FDA Food Code with New Mexico modifications.</w:t>
            </w:r>
          </w:p>
        </w:tc>
        <w:tc>
          <w:tcPr>
            <w:tcW w:type="dxa" w:w="3360"/>
            <w:vAlign w:val="center"/>
          </w:tcPr>
          <w:p>
            <w:pPr>
              <w:spacing w:after="40"/>
            </w:pPr>
            <w:r>
              <w:rPr>
                <w:rFonts w:ascii="Arial" w:hAnsi="Arial"/>
                <w:sz w:val="17"/>
              </w:rPr>
            </w:r>
            <w:r>
              <w:rPr>
                <w:rFonts w:ascii="Arial" w:hAnsi="Arial"/>
                <w:b w:val="0"/>
                <w:sz w:val="17"/>
              </w:rPr>
              <w:t>Train to local requirements, not generic national assumptions.</w:t>
            </w:r>
          </w:p>
        </w:tc>
      </w:tr>
      <w:tr>
        <w:tc>
          <w:tcPr>
            <w:tcW w:type="dxa" w:w="3360"/>
            <w:vAlign w:val="center"/>
          </w:tcPr>
          <w:p>
            <w:pPr>
              <w:spacing w:after="40"/>
            </w:pPr>
            <w:r>
              <w:rPr>
                <w:rFonts w:ascii="Arial" w:hAnsi="Arial"/>
                <w:sz w:val="17"/>
              </w:rPr>
            </w:r>
            <w:r>
              <w:rPr>
                <w:rFonts w:ascii="Arial" w:hAnsi="Arial"/>
                <w:b w:val="0"/>
                <w:sz w:val="17"/>
              </w:rPr>
              <w:t>Certified Food Protection Manager</w:t>
            </w:r>
          </w:p>
        </w:tc>
        <w:tc>
          <w:tcPr>
            <w:tcW w:type="dxa" w:w="3360"/>
            <w:vAlign w:val="center"/>
          </w:tcPr>
          <w:p>
            <w:pPr>
              <w:spacing w:after="40"/>
            </w:pPr>
            <w:r>
              <w:rPr>
                <w:rFonts w:ascii="Arial" w:hAnsi="Arial"/>
                <w:sz w:val="17"/>
              </w:rPr>
            </w:r>
            <w:r>
              <w:rPr>
                <w:rFonts w:ascii="Arial" w:hAnsi="Arial"/>
                <w:b w:val="0"/>
                <w:sz w:val="17"/>
              </w:rPr>
              <w:t>New Mexico rules address CFPM expectations for covered establishments, subject to exceptions/agency interpretation.</w:t>
            </w:r>
          </w:p>
        </w:tc>
        <w:tc>
          <w:tcPr>
            <w:tcW w:type="dxa" w:w="3360"/>
            <w:vAlign w:val="center"/>
          </w:tcPr>
          <w:p>
            <w:pPr>
              <w:spacing w:after="40"/>
            </w:pPr>
            <w:r>
              <w:rPr>
                <w:rFonts w:ascii="Arial" w:hAnsi="Arial"/>
                <w:sz w:val="17"/>
              </w:rPr>
            </w:r>
            <w:r>
              <w:rPr>
                <w:rFonts w:ascii="Arial" w:hAnsi="Arial"/>
                <w:b w:val="0"/>
                <w:sz w:val="17"/>
              </w:rPr>
              <w:t>At least one supervisory food-safety manager should maintain current certification before opening.</w:t>
            </w:r>
          </w:p>
        </w:tc>
      </w:tr>
      <w:tr>
        <w:tc>
          <w:tcPr>
            <w:tcW w:type="dxa" w:w="3360"/>
            <w:vAlign w:val="center"/>
          </w:tcPr>
          <w:p>
            <w:pPr>
              <w:spacing w:after="40"/>
            </w:pPr>
            <w:r>
              <w:rPr>
                <w:rFonts w:ascii="Arial" w:hAnsi="Arial"/>
                <w:sz w:val="17"/>
              </w:rPr>
            </w:r>
            <w:r>
              <w:rPr>
                <w:rFonts w:ascii="Arial" w:hAnsi="Arial"/>
                <w:b w:val="0"/>
                <w:sz w:val="17"/>
              </w:rPr>
              <w:t>Food handler records</w:t>
            </w:r>
          </w:p>
        </w:tc>
        <w:tc>
          <w:tcPr>
            <w:tcW w:type="dxa" w:w="3360"/>
            <w:vAlign w:val="center"/>
          </w:tcPr>
          <w:p>
            <w:pPr>
              <w:spacing w:after="40"/>
            </w:pPr>
            <w:r>
              <w:rPr>
                <w:rFonts w:ascii="Arial" w:hAnsi="Arial"/>
                <w:sz w:val="17"/>
              </w:rPr>
            </w:r>
            <w:r>
              <w:rPr>
                <w:rFonts w:ascii="Arial" w:hAnsi="Arial"/>
                <w:b w:val="0"/>
                <w:sz w:val="17"/>
              </w:rPr>
              <w:t>Food handler cards or approved training records must be maintained where required and available for inspection.</w:t>
            </w:r>
          </w:p>
        </w:tc>
        <w:tc>
          <w:tcPr>
            <w:tcW w:type="dxa" w:w="3360"/>
            <w:vAlign w:val="center"/>
          </w:tcPr>
          <w:p>
            <w:pPr>
              <w:spacing w:after="40"/>
            </w:pPr>
            <w:r>
              <w:rPr>
                <w:rFonts w:ascii="Arial" w:hAnsi="Arial"/>
                <w:sz w:val="17"/>
              </w:rPr>
            </w:r>
            <w:r>
              <w:rPr>
                <w:rFonts w:ascii="Arial" w:hAnsi="Arial"/>
                <w:b w:val="0"/>
                <w:sz w:val="17"/>
              </w:rPr>
              <w:t>Collect records before staff or vendor users work in the kitchen.</w:t>
            </w:r>
          </w:p>
        </w:tc>
      </w:tr>
      <w:tr>
        <w:tc>
          <w:tcPr>
            <w:tcW w:type="dxa" w:w="3360"/>
            <w:vAlign w:val="center"/>
          </w:tcPr>
          <w:p>
            <w:pPr>
              <w:spacing w:after="40"/>
            </w:pPr>
            <w:r>
              <w:rPr>
                <w:rFonts w:ascii="Arial" w:hAnsi="Arial"/>
                <w:sz w:val="17"/>
              </w:rPr>
            </w:r>
            <w:r>
              <w:rPr>
                <w:rFonts w:ascii="Arial" w:hAnsi="Arial"/>
                <w:b w:val="0"/>
                <w:sz w:val="17"/>
              </w:rPr>
              <w:t>Mobile or temporary food</w:t>
            </w:r>
          </w:p>
        </w:tc>
        <w:tc>
          <w:tcPr>
            <w:tcW w:type="dxa" w:w="3360"/>
            <w:vAlign w:val="center"/>
          </w:tcPr>
          <w:p>
            <w:pPr>
              <w:spacing w:after="40"/>
            </w:pPr>
            <w:r>
              <w:rPr>
                <w:rFonts w:ascii="Arial" w:hAnsi="Arial"/>
                <w:sz w:val="17"/>
              </w:rPr>
            </w:r>
            <w:r>
              <w:rPr>
                <w:rFonts w:ascii="Arial" w:hAnsi="Arial"/>
                <w:b w:val="0"/>
                <w:sz w:val="17"/>
              </w:rPr>
              <w:t>Mobile units and temporary food events have separate rule considerations.</w:t>
            </w:r>
          </w:p>
        </w:tc>
        <w:tc>
          <w:tcPr>
            <w:tcW w:type="dxa" w:w="3360"/>
            <w:vAlign w:val="center"/>
          </w:tcPr>
          <w:p>
            <w:pPr>
              <w:spacing w:after="40"/>
            </w:pPr>
            <w:r>
              <w:rPr>
                <w:rFonts w:ascii="Arial" w:hAnsi="Arial"/>
                <w:sz w:val="17"/>
              </w:rPr>
            </w:r>
            <w:r>
              <w:rPr>
                <w:rFonts w:ascii="Arial" w:hAnsi="Arial"/>
                <w:b w:val="0"/>
                <w:sz w:val="17"/>
              </w:rPr>
              <w:t>Do not use food truck/pop-up operations without confirming permit path.</w:t>
            </w:r>
          </w:p>
        </w:tc>
      </w:tr>
      <w:tr>
        <w:tc>
          <w:tcPr>
            <w:tcW w:type="dxa" w:w="3360"/>
            <w:vAlign w:val="center"/>
          </w:tcPr>
          <w:p>
            <w:pPr>
              <w:spacing w:after="40"/>
            </w:pPr>
            <w:r>
              <w:rPr>
                <w:rFonts w:ascii="Arial" w:hAnsi="Arial"/>
                <w:sz w:val="17"/>
              </w:rPr>
            </w:r>
            <w:r>
              <w:rPr>
                <w:rFonts w:ascii="Arial" w:hAnsi="Arial"/>
                <w:b w:val="0"/>
                <w:sz w:val="17"/>
              </w:rPr>
              <w:t>Manufactured/packaged food</w:t>
            </w:r>
          </w:p>
        </w:tc>
        <w:tc>
          <w:tcPr>
            <w:tcW w:type="dxa" w:w="3360"/>
            <w:vAlign w:val="center"/>
          </w:tcPr>
          <w:p>
            <w:pPr>
              <w:spacing w:after="40"/>
            </w:pPr>
            <w:r>
              <w:rPr>
                <w:rFonts w:ascii="Arial" w:hAnsi="Arial"/>
                <w:sz w:val="17"/>
              </w:rPr>
            </w:r>
            <w:r>
              <w:rPr>
                <w:rFonts w:ascii="Arial" w:hAnsi="Arial"/>
                <w:b w:val="0"/>
                <w:sz w:val="17"/>
              </w:rPr>
              <w:t>Packaged or processed foods may trigger manufactured-food/labeling requirements.</w:t>
            </w:r>
          </w:p>
        </w:tc>
        <w:tc>
          <w:tcPr>
            <w:tcW w:type="dxa" w:w="3360"/>
            <w:vAlign w:val="center"/>
          </w:tcPr>
          <w:p>
            <w:pPr>
              <w:spacing w:after="40"/>
            </w:pPr>
            <w:r>
              <w:rPr>
                <w:rFonts w:ascii="Arial" w:hAnsi="Arial"/>
                <w:sz w:val="17"/>
              </w:rPr>
            </w:r>
            <w:r>
              <w:rPr>
                <w:rFonts w:ascii="Arial" w:hAnsi="Arial"/>
                <w:b w:val="0"/>
                <w:sz w:val="17"/>
              </w:rPr>
              <w:t>Gift shop products need approval, labels, records, and vendor responsibility terms.</w:t>
            </w:r>
          </w:p>
        </w:tc>
      </w:tr>
    </w:tbl>
    <w:p/>
    <w:p>
      <w:pPr>
        <w:pStyle w:val="Heading2"/>
      </w:pPr>
      <w:r>
        <w:t>3.1 Active Managerial Control</w:t>
      </w:r>
    </w:p>
    <w:p>
      <w:r>
        <w:t>Active managerial control means the facility anticipates food safety risks and controls them before inspection or complaint. The Person in Charge should be able to explain what hazards exist, how they are controlled, where the records are, and what corrective action occurs when a standard is missed.</w:t>
      </w:r>
    </w:p>
    <w:p>
      <w:pPr>
        <w:pStyle w:val="ListBullet"/>
      </w:pPr>
      <w:r>
        <w:t>Maintain current permit, inspection, training, and log records in a compliance file.</w:t>
      </w:r>
    </w:p>
    <w:p>
      <w:pPr>
        <w:pStyle w:val="ListBullet"/>
      </w:pPr>
      <w:r>
        <w:t>Review logs during each shift rather than filing them unread.</w:t>
      </w:r>
    </w:p>
    <w:p>
      <w:pPr>
        <w:pStyle w:val="ListBullet"/>
      </w:pPr>
      <w:r>
        <w:t>Train staff to stop production and notify a manager when temperatures, sanitation, illness, allergen, pest, or equipment standards fail.</w:t>
      </w:r>
    </w:p>
    <w:p>
      <w:pPr>
        <w:pStyle w:val="ListBullet"/>
      </w:pPr>
      <w:r>
        <w:t>Use corrective action records to show what happened, who was notified, what food was retained/discarded, and how recurrence will be prevented.</w:t>
      </w:r>
    </w:p>
    <w:p>
      <w:pPr>
        <w:pStyle w:val="Heading2"/>
      </w:pPr>
      <w:r>
        <w:t>3.2 HACCP-Style Control System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5F"/>
          </w:tcPr>
          <w:p>
            <w:pPr>
              <w:spacing w:after="40"/>
            </w:pPr>
            <w:r>
              <w:rPr>
                <w:rFonts w:ascii="Arial" w:hAnsi="Arial"/>
                <w:sz w:val="17"/>
              </w:rPr>
            </w:r>
            <w:r>
              <w:rPr>
                <w:rFonts w:ascii="Arial" w:hAnsi="Arial"/>
                <w:b/>
                <w:color w:val="FFFFFF"/>
                <w:sz w:val="17"/>
              </w:rPr>
              <w:t>Principle</w:t>
            </w:r>
          </w:p>
        </w:tc>
        <w:tc>
          <w:tcPr>
            <w:tcW w:type="dxa" w:w="5040"/>
            <w:vAlign w:val="center"/>
            <w:shd w:fill="1F4E5F"/>
          </w:tcPr>
          <w:p>
            <w:pPr>
              <w:spacing w:after="40"/>
            </w:pPr>
            <w:r>
              <w:rPr>
                <w:rFonts w:ascii="Arial" w:hAnsi="Arial"/>
                <w:sz w:val="17"/>
              </w:rPr>
            </w:r>
            <w:r>
              <w:rPr>
                <w:rFonts w:ascii="Arial" w:hAnsi="Arial"/>
                <w:b/>
                <w:color w:val="FFFFFF"/>
                <w:sz w:val="17"/>
              </w:rPr>
              <w:t>Implementation in This Kitchen</w:t>
            </w:r>
          </w:p>
        </w:tc>
      </w:tr>
      <w:tr>
        <w:tc>
          <w:tcPr>
            <w:tcW w:type="dxa" w:w="5040"/>
            <w:vAlign w:val="center"/>
          </w:tcPr>
          <w:p>
            <w:pPr>
              <w:spacing w:after="40"/>
            </w:pPr>
            <w:r>
              <w:rPr>
                <w:rFonts w:ascii="Arial" w:hAnsi="Arial"/>
                <w:sz w:val="17"/>
              </w:rPr>
            </w:r>
            <w:r>
              <w:rPr>
                <w:rFonts w:ascii="Arial" w:hAnsi="Arial"/>
                <w:b w:val="0"/>
                <w:sz w:val="17"/>
              </w:rPr>
              <w:t>Hazard analysis</w:t>
            </w:r>
          </w:p>
        </w:tc>
        <w:tc>
          <w:tcPr>
            <w:tcW w:type="dxa" w:w="5040"/>
            <w:vAlign w:val="center"/>
          </w:tcPr>
          <w:p>
            <w:pPr>
              <w:spacing w:after="40"/>
            </w:pPr>
            <w:r>
              <w:rPr>
                <w:rFonts w:ascii="Arial" w:hAnsi="Arial"/>
                <w:sz w:val="17"/>
              </w:rPr>
            </w:r>
            <w:r>
              <w:rPr>
                <w:rFonts w:ascii="Arial" w:hAnsi="Arial"/>
                <w:b w:val="0"/>
                <w:sz w:val="17"/>
              </w:rPr>
              <w:t>Evaluate biological, chemical, physical, and allergen hazards for each menu item, process, and retail product.</w:t>
            </w:r>
          </w:p>
        </w:tc>
      </w:tr>
      <w:tr>
        <w:tc>
          <w:tcPr>
            <w:tcW w:type="dxa" w:w="5040"/>
            <w:vAlign w:val="center"/>
          </w:tcPr>
          <w:p>
            <w:pPr>
              <w:spacing w:after="40"/>
            </w:pPr>
            <w:r>
              <w:rPr>
                <w:rFonts w:ascii="Arial" w:hAnsi="Arial"/>
                <w:sz w:val="17"/>
              </w:rPr>
            </w:r>
            <w:r>
              <w:rPr>
                <w:rFonts w:ascii="Arial" w:hAnsi="Arial"/>
                <w:b w:val="0"/>
                <w:sz w:val="17"/>
              </w:rPr>
              <w:t>Critical control points</w:t>
            </w:r>
          </w:p>
        </w:tc>
        <w:tc>
          <w:tcPr>
            <w:tcW w:type="dxa" w:w="5040"/>
            <w:vAlign w:val="center"/>
          </w:tcPr>
          <w:p>
            <w:pPr>
              <w:spacing w:after="40"/>
            </w:pPr>
            <w:r>
              <w:rPr>
                <w:rFonts w:ascii="Arial" w:hAnsi="Arial"/>
                <w:sz w:val="17"/>
              </w:rPr>
            </w:r>
            <w:r>
              <w:rPr>
                <w:rFonts w:ascii="Arial" w:hAnsi="Arial"/>
                <w:b w:val="0"/>
                <w:sz w:val="17"/>
              </w:rPr>
              <w:t>Identify receiving, cold holding, cooking, cooling, reheating, hot holding, packaging, and sanitation points where loss of control matters.</w:t>
            </w:r>
          </w:p>
        </w:tc>
      </w:tr>
      <w:tr>
        <w:tc>
          <w:tcPr>
            <w:tcW w:type="dxa" w:w="5040"/>
            <w:vAlign w:val="center"/>
          </w:tcPr>
          <w:p>
            <w:pPr>
              <w:spacing w:after="40"/>
            </w:pPr>
            <w:r>
              <w:rPr>
                <w:rFonts w:ascii="Arial" w:hAnsi="Arial"/>
                <w:sz w:val="17"/>
              </w:rPr>
            </w:r>
            <w:r>
              <w:rPr>
                <w:rFonts w:ascii="Arial" w:hAnsi="Arial"/>
                <w:b w:val="0"/>
                <w:sz w:val="17"/>
              </w:rPr>
              <w:t>Critical limits</w:t>
            </w:r>
          </w:p>
        </w:tc>
        <w:tc>
          <w:tcPr>
            <w:tcW w:type="dxa" w:w="5040"/>
            <w:vAlign w:val="center"/>
          </w:tcPr>
          <w:p>
            <w:pPr>
              <w:spacing w:after="40"/>
            </w:pPr>
            <w:r>
              <w:rPr>
                <w:rFonts w:ascii="Arial" w:hAnsi="Arial"/>
                <w:sz w:val="17"/>
              </w:rPr>
            </w:r>
            <w:r>
              <w:rPr>
                <w:rFonts w:ascii="Arial" w:hAnsi="Arial"/>
                <w:b w:val="0"/>
                <w:sz w:val="17"/>
              </w:rPr>
              <w:t>Use local code, approved process, validated recipe, or manufacturer instructions for time/temperature and sanitation limits.</w:t>
            </w:r>
          </w:p>
        </w:tc>
      </w:tr>
      <w:tr>
        <w:tc>
          <w:tcPr>
            <w:tcW w:type="dxa" w:w="5040"/>
            <w:vAlign w:val="center"/>
          </w:tcPr>
          <w:p>
            <w:pPr>
              <w:spacing w:after="40"/>
            </w:pPr>
            <w:r>
              <w:rPr>
                <w:rFonts w:ascii="Arial" w:hAnsi="Arial"/>
                <w:sz w:val="17"/>
              </w:rPr>
            </w:r>
            <w:r>
              <w:rPr>
                <w:rFonts w:ascii="Arial" w:hAnsi="Arial"/>
                <w:b w:val="0"/>
                <w:sz w:val="17"/>
              </w:rPr>
              <w:t>Monitoring</w:t>
            </w:r>
          </w:p>
        </w:tc>
        <w:tc>
          <w:tcPr>
            <w:tcW w:type="dxa" w:w="5040"/>
            <w:vAlign w:val="center"/>
          </w:tcPr>
          <w:p>
            <w:pPr>
              <w:spacing w:after="40"/>
            </w:pPr>
            <w:r>
              <w:rPr>
                <w:rFonts w:ascii="Arial" w:hAnsi="Arial"/>
                <w:sz w:val="17"/>
              </w:rPr>
            </w:r>
            <w:r>
              <w:rPr>
                <w:rFonts w:ascii="Arial" w:hAnsi="Arial"/>
                <w:b w:val="0"/>
                <w:sz w:val="17"/>
              </w:rPr>
              <w:t>Assign who checks, when they check, what tool they use, and where the result is recorded.</w:t>
            </w:r>
          </w:p>
        </w:tc>
      </w:tr>
      <w:tr>
        <w:tc>
          <w:tcPr>
            <w:tcW w:type="dxa" w:w="5040"/>
            <w:vAlign w:val="center"/>
          </w:tcPr>
          <w:p>
            <w:pPr>
              <w:spacing w:after="40"/>
            </w:pPr>
            <w:r>
              <w:rPr>
                <w:rFonts w:ascii="Arial" w:hAnsi="Arial"/>
                <w:sz w:val="17"/>
              </w:rPr>
            </w:r>
            <w:r>
              <w:rPr>
                <w:rFonts w:ascii="Arial" w:hAnsi="Arial"/>
                <w:b w:val="0"/>
                <w:sz w:val="17"/>
              </w:rPr>
              <w:t>Corrective action</w:t>
            </w:r>
          </w:p>
        </w:tc>
        <w:tc>
          <w:tcPr>
            <w:tcW w:type="dxa" w:w="5040"/>
            <w:vAlign w:val="center"/>
          </w:tcPr>
          <w:p>
            <w:pPr>
              <w:spacing w:after="40"/>
            </w:pPr>
            <w:r>
              <w:rPr>
                <w:rFonts w:ascii="Arial" w:hAnsi="Arial"/>
                <w:sz w:val="17"/>
              </w:rPr>
            </w:r>
            <w:r>
              <w:rPr>
                <w:rFonts w:ascii="Arial" w:hAnsi="Arial"/>
                <w:b w:val="0"/>
                <w:sz w:val="17"/>
              </w:rPr>
              <w:t>Define discard, reheat, rapid cool, relabel, stop sale, retrain, repair, or notify authority steps.</w:t>
            </w:r>
          </w:p>
        </w:tc>
      </w:tr>
      <w:tr>
        <w:tc>
          <w:tcPr>
            <w:tcW w:type="dxa" w:w="5040"/>
            <w:vAlign w:val="center"/>
          </w:tcPr>
          <w:p>
            <w:pPr>
              <w:spacing w:after="40"/>
            </w:pPr>
            <w:r>
              <w:rPr>
                <w:rFonts w:ascii="Arial" w:hAnsi="Arial"/>
                <w:sz w:val="17"/>
              </w:rPr>
            </w:r>
            <w:r>
              <w:rPr>
                <w:rFonts w:ascii="Arial" w:hAnsi="Arial"/>
                <w:b w:val="0"/>
                <w:sz w:val="17"/>
              </w:rPr>
              <w:t>Verification</w:t>
            </w:r>
          </w:p>
        </w:tc>
        <w:tc>
          <w:tcPr>
            <w:tcW w:type="dxa" w:w="5040"/>
            <w:vAlign w:val="center"/>
          </w:tcPr>
          <w:p>
            <w:pPr>
              <w:spacing w:after="40"/>
            </w:pPr>
            <w:r>
              <w:rPr>
                <w:rFonts w:ascii="Arial" w:hAnsi="Arial"/>
                <w:sz w:val="17"/>
              </w:rPr>
            </w:r>
            <w:r>
              <w:rPr>
                <w:rFonts w:ascii="Arial" w:hAnsi="Arial"/>
                <w:b w:val="0"/>
                <w:sz w:val="17"/>
              </w:rPr>
              <w:t>Manager reviews records, observes behavior, calibrates thermometers, and validates corrective actions.</w:t>
            </w:r>
          </w:p>
        </w:tc>
      </w:tr>
      <w:tr>
        <w:tc>
          <w:tcPr>
            <w:tcW w:type="dxa" w:w="5040"/>
            <w:vAlign w:val="center"/>
          </w:tcPr>
          <w:p>
            <w:pPr>
              <w:spacing w:after="40"/>
            </w:pPr>
            <w:r>
              <w:rPr>
                <w:rFonts w:ascii="Arial" w:hAnsi="Arial"/>
                <w:sz w:val="17"/>
              </w:rPr>
            </w:r>
            <w:r>
              <w:rPr>
                <w:rFonts w:ascii="Arial" w:hAnsi="Arial"/>
                <w:b w:val="0"/>
                <w:sz w:val="17"/>
              </w:rPr>
              <w:t>Recordkeeping</w:t>
            </w:r>
          </w:p>
        </w:tc>
        <w:tc>
          <w:tcPr>
            <w:tcW w:type="dxa" w:w="5040"/>
            <w:vAlign w:val="center"/>
          </w:tcPr>
          <w:p>
            <w:pPr>
              <w:spacing w:after="40"/>
            </w:pPr>
            <w:r>
              <w:rPr>
                <w:rFonts w:ascii="Arial" w:hAnsi="Arial"/>
                <w:sz w:val="17"/>
              </w:rPr>
            </w:r>
            <w:r>
              <w:rPr>
                <w:rFonts w:ascii="Arial" w:hAnsi="Arial"/>
                <w:b w:val="0"/>
                <w:sz w:val="17"/>
              </w:rPr>
              <w:t>Keep logs long enough to satisfy agency, insurance, grant, and internal quality needs.</w:t>
            </w:r>
          </w:p>
        </w:tc>
      </w:tr>
    </w:tbl>
    <w:p/>
    <w:p>
      <w:pPr>
        <w:pStyle w:val="Heading2"/>
      </w:pPr>
      <w:r>
        <w:t>3.3 Employee Health, Allergen, and Inspection Readiness</w:t>
      </w:r>
    </w:p>
    <w:p>
      <w:pPr>
        <w:pStyle w:val="ListBullet"/>
      </w:pPr>
      <w:r>
        <w:t>Employee health: staff must know when symptoms, diagnoses, or exposure risks must be reported to the Person in Charge under applicable food code rules.</w:t>
      </w:r>
    </w:p>
    <w:p>
      <w:pPr>
        <w:pStyle w:val="ListBullet"/>
      </w:pPr>
      <w:r>
        <w:t>Allergens: menu, prep, service, and packaging systems must identify major allergens and prevent accidental cross-contact where allergen claims are made.</w:t>
      </w:r>
    </w:p>
    <w:p>
      <w:pPr>
        <w:pStyle w:val="ListBullet"/>
      </w:pPr>
      <w:r>
        <w:t>Thermometers: each critical station should have an accurate, clean, calibrated thermometer or assigned temperature device.</w:t>
      </w:r>
    </w:p>
    <w:p>
      <w:pPr>
        <w:pStyle w:val="ListBullet"/>
      </w:pPr>
      <w:r>
        <w:t>Sanitizer: sanitizer concentration must be verified with the correct test strips or device at setup and during use.</w:t>
      </w:r>
    </w:p>
    <w:p>
      <w:pPr>
        <w:pStyle w:val="ListBullet"/>
      </w:pPr>
      <w:r>
        <w:t>Inspection readiness: permits, CFPM/food handler records, logs, pest records, cleaning schedules, and corrective actions should be available without delay.</w:t>
      </w:r>
    </w:p>
    <w:p>
      <w:pPr>
        <w:pStyle w:val="Heading1"/>
      </w:pPr>
      <w:r>
        <w:t>4. Daily Operations Workflow</w:t>
      </w:r>
    </w:p>
    <w:p>
      <w:pPr>
        <w:pStyle w:val="Heading2"/>
      </w:pPr>
      <w:r>
        <w:t>4.1 Opening Workflow</w:t>
      </w:r>
    </w:p>
    <w:p>
      <w:pPr>
        <w:pStyle w:val="ListNumber"/>
      </w:pPr>
      <w:r>
        <w:t>Person in Charge performs facility walk-through: security, odors, pests, leaks, refrigeration alarms, standing water, utility status, and equipment condition.</w:t>
      </w:r>
    </w:p>
    <w:p>
      <w:pPr>
        <w:pStyle w:val="ListNumber"/>
      </w:pPr>
      <w:r>
        <w:t>Log refrigeration/freezer temperatures before food is moved or deliveries are accepted.</w:t>
      </w:r>
    </w:p>
    <w:p>
      <w:pPr>
        <w:pStyle w:val="ListNumber"/>
      </w:pPr>
      <w:r>
        <w:t>Set hand sinks, sanitizer stations, prep surfaces, dish machine/three-sink setup, and waste stations.</w:t>
      </w:r>
    </w:p>
    <w:p>
      <w:pPr>
        <w:pStyle w:val="ListNumber"/>
      </w:pPr>
      <w:r>
        <w:t>Start equipment only according to manufacturer and safety instructions; confirm hood/ventilation before heat-producing equipment is used.</w:t>
      </w:r>
    </w:p>
    <w:p>
      <w:pPr>
        <w:pStyle w:val="ListNumber"/>
      </w:pPr>
      <w:r>
        <w:t>Review schedule, operator bookings, prep lists, special events, allergens, maintenance notes, and expected deliveries.</w:t>
      </w:r>
    </w:p>
    <w:p>
      <w:pPr>
        <w:pStyle w:val="ListNumber"/>
      </w:pPr>
      <w:r>
        <w:t>Assign staff by station and identify the manager authorized to make food safety corrective decisions.</w:t>
      </w:r>
    </w:p>
    <w:p>
      <w:pPr>
        <w:pStyle w:val="Heading2"/>
      </w:pPr>
      <w:r>
        <w:t>4.2 Receiving Workflow</w:t>
      </w:r>
    </w:p>
    <w:p>
      <w:pPr>
        <w:pStyle w:val="ListNumber"/>
      </w:pPr>
      <w:r>
        <w:t>Receiver matches delivery to order guide and approved supplier list.</w:t>
      </w:r>
    </w:p>
    <w:p>
      <w:pPr>
        <w:pStyle w:val="ListNumber"/>
      </w:pPr>
      <w:r>
        <w:t>Inspect vehicle and packaging condition where practical; prioritize refrigerated, frozen, and hot-held items.</w:t>
      </w:r>
    </w:p>
    <w:p>
      <w:pPr>
        <w:pStyle w:val="ListNumber"/>
      </w:pPr>
      <w:r>
        <w:t>Measure and record temperatures for TCS items using a clean thermometer or approved method.</w:t>
      </w:r>
    </w:p>
    <w:p>
      <w:pPr>
        <w:pStyle w:val="ListNumber"/>
      </w:pPr>
      <w:r>
        <w:t>Reject unsafe temperature, damaged packaging, spoilage, pest evidence, unapproved substitution, missing label, or questionable product.</w:t>
      </w:r>
    </w:p>
    <w:p>
      <w:pPr>
        <w:pStyle w:val="ListNumber"/>
      </w:pPr>
      <w:r>
        <w:t>Label accepted goods with date received, owner/operator, use-by date where applicable, and allergen note if needed.</w:t>
      </w:r>
    </w:p>
    <w:p>
      <w:pPr>
        <w:pStyle w:val="ListNumber"/>
      </w:pPr>
      <w:r>
        <w:t>Move cold/frozen products immediately to assigned storage; do not allow deliveries to sit in prep aisles.</w:t>
      </w:r>
    </w:p>
    <w:p>
      <w:pPr>
        <w:pStyle w:val="Heading2"/>
      </w:pPr>
      <w:r>
        <w:t>4.3 Storage Workflow</w:t>
      </w:r>
    </w:p>
    <w:p>
      <w:pPr>
        <w:pStyle w:val="ListBullet"/>
      </w:pPr>
      <w:r>
        <w:t>Use FIFO and visible date labels; shorter shelf-life products move first even if received later.</w:t>
      </w:r>
    </w:p>
    <w:p>
      <w:pPr>
        <w:pStyle w:val="ListBullet"/>
      </w:pPr>
      <w:r>
        <w:t>Store raw animal products below ready-to-eat foods and separate by cooking risk hierarchy.</w:t>
      </w:r>
    </w:p>
    <w:p>
      <w:pPr>
        <w:pStyle w:val="ListBullet"/>
      </w:pPr>
      <w:r>
        <w:t>Keep allergen-heavy ingredients and chemicals from contaminating common prep or retail products.</w:t>
      </w:r>
    </w:p>
    <w:p>
      <w:pPr>
        <w:pStyle w:val="ListBullet"/>
      </w:pPr>
      <w:r>
        <w:t>Shared-use operators may use only assigned storage unless management approves temporary overflow.</w:t>
      </w:r>
    </w:p>
    <w:p>
      <w:pPr>
        <w:pStyle w:val="ListBullet"/>
      </w:pPr>
      <w:r>
        <w:t>Unlabeled, expired, leaking, or unassigned product is documented and discarded or quarantined under policy.</w:t>
      </w:r>
    </w:p>
    <w:p>
      <w:pPr>
        <w:pStyle w:val="Heading2"/>
      </w:pPr>
      <w:r>
        <w:t>4.4 Prep, Cooking, Cooling, Reheating, and Holding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Step</w:t>
            </w:r>
          </w:p>
        </w:tc>
        <w:tc>
          <w:tcPr>
            <w:tcW w:type="dxa" w:w="3360"/>
            <w:vAlign w:val="center"/>
            <w:shd w:fill="1F4E5F"/>
          </w:tcPr>
          <w:p>
            <w:pPr>
              <w:spacing w:after="40"/>
            </w:pPr>
            <w:r>
              <w:rPr>
                <w:rFonts w:ascii="Arial" w:hAnsi="Arial"/>
                <w:sz w:val="17"/>
              </w:rPr>
            </w:r>
            <w:r>
              <w:rPr>
                <w:rFonts w:ascii="Arial" w:hAnsi="Arial"/>
                <w:b/>
                <w:color w:val="FFFFFF"/>
                <w:sz w:val="17"/>
              </w:rPr>
              <w:t>Required Practice</w:t>
            </w:r>
          </w:p>
        </w:tc>
        <w:tc>
          <w:tcPr>
            <w:tcW w:type="dxa" w:w="3360"/>
            <w:vAlign w:val="center"/>
            <w:shd w:fill="1F4E5F"/>
          </w:tcPr>
          <w:p>
            <w:pPr>
              <w:spacing w:after="40"/>
            </w:pPr>
            <w:r>
              <w:rPr>
                <w:rFonts w:ascii="Arial" w:hAnsi="Arial"/>
                <w:sz w:val="17"/>
              </w:rPr>
            </w:r>
            <w:r>
              <w:rPr>
                <w:rFonts w:ascii="Arial" w:hAnsi="Arial"/>
                <w:b/>
                <w:color w:val="FFFFFF"/>
                <w:sz w:val="17"/>
              </w:rPr>
              <w:t>Critical Control Point</w:t>
            </w:r>
          </w:p>
        </w:tc>
      </w:tr>
      <w:tr>
        <w:tc>
          <w:tcPr>
            <w:tcW w:type="dxa" w:w="3360"/>
            <w:vAlign w:val="center"/>
          </w:tcPr>
          <w:p>
            <w:pPr>
              <w:spacing w:after="40"/>
            </w:pPr>
            <w:r>
              <w:rPr>
                <w:rFonts w:ascii="Arial" w:hAnsi="Arial"/>
                <w:sz w:val="17"/>
              </w:rPr>
            </w:r>
            <w:r>
              <w:rPr>
                <w:rFonts w:ascii="Arial" w:hAnsi="Arial"/>
                <w:b w:val="0"/>
                <w:sz w:val="17"/>
              </w:rPr>
              <w:t>Prep</w:t>
            </w:r>
          </w:p>
        </w:tc>
        <w:tc>
          <w:tcPr>
            <w:tcW w:type="dxa" w:w="3360"/>
            <w:vAlign w:val="center"/>
          </w:tcPr>
          <w:p>
            <w:pPr>
              <w:spacing w:after="40"/>
            </w:pPr>
            <w:r>
              <w:rPr>
                <w:rFonts w:ascii="Arial" w:hAnsi="Arial"/>
                <w:sz w:val="17"/>
              </w:rPr>
            </w:r>
            <w:r>
              <w:rPr>
                <w:rFonts w:ascii="Arial" w:hAnsi="Arial"/>
                <w:b w:val="0"/>
                <w:sz w:val="17"/>
              </w:rPr>
              <w:t>Work from approved prep list and recipe; sanitize surfaces; label all batches.</w:t>
            </w:r>
          </w:p>
        </w:tc>
        <w:tc>
          <w:tcPr>
            <w:tcW w:type="dxa" w:w="3360"/>
            <w:vAlign w:val="center"/>
          </w:tcPr>
          <w:p>
            <w:pPr>
              <w:spacing w:after="40"/>
            </w:pPr>
            <w:r>
              <w:rPr>
                <w:rFonts w:ascii="Arial" w:hAnsi="Arial"/>
                <w:sz w:val="17"/>
              </w:rPr>
            </w:r>
            <w:r>
              <w:rPr>
                <w:rFonts w:ascii="Arial" w:hAnsi="Arial"/>
                <w:b w:val="0"/>
                <w:sz w:val="17"/>
              </w:rPr>
              <w:t>Time out of temperature control, allergen cross-contact, tool sanitation.</w:t>
            </w:r>
          </w:p>
        </w:tc>
      </w:tr>
      <w:tr>
        <w:tc>
          <w:tcPr>
            <w:tcW w:type="dxa" w:w="3360"/>
            <w:vAlign w:val="center"/>
          </w:tcPr>
          <w:p>
            <w:pPr>
              <w:spacing w:after="40"/>
            </w:pPr>
            <w:r>
              <w:rPr>
                <w:rFonts w:ascii="Arial" w:hAnsi="Arial"/>
                <w:sz w:val="17"/>
              </w:rPr>
            </w:r>
            <w:r>
              <w:rPr>
                <w:rFonts w:ascii="Arial" w:hAnsi="Arial"/>
                <w:b w:val="0"/>
                <w:sz w:val="17"/>
              </w:rPr>
              <w:t>Cooking</w:t>
            </w:r>
          </w:p>
        </w:tc>
        <w:tc>
          <w:tcPr>
            <w:tcW w:type="dxa" w:w="3360"/>
            <w:vAlign w:val="center"/>
          </w:tcPr>
          <w:p>
            <w:pPr>
              <w:spacing w:after="40"/>
            </w:pPr>
            <w:r>
              <w:rPr>
                <w:rFonts w:ascii="Arial" w:hAnsi="Arial"/>
                <w:sz w:val="17"/>
              </w:rPr>
            </w:r>
            <w:r>
              <w:rPr>
                <w:rFonts w:ascii="Arial" w:hAnsi="Arial"/>
                <w:b w:val="0"/>
                <w:sz w:val="17"/>
              </w:rPr>
              <w:t>Cook to approved internal standard and recipe specification; verify with thermometer where required.</w:t>
            </w:r>
          </w:p>
        </w:tc>
        <w:tc>
          <w:tcPr>
            <w:tcW w:type="dxa" w:w="3360"/>
            <w:vAlign w:val="center"/>
          </w:tcPr>
          <w:p>
            <w:pPr>
              <w:spacing w:after="40"/>
            </w:pPr>
            <w:r>
              <w:rPr>
                <w:rFonts w:ascii="Arial" w:hAnsi="Arial"/>
                <w:sz w:val="17"/>
              </w:rPr>
            </w:r>
            <w:r>
              <w:rPr>
                <w:rFonts w:ascii="Arial" w:hAnsi="Arial"/>
                <w:b w:val="0"/>
                <w:sz w:val="17"/>
              </w:rPr>
              <w:t>Critical cooking limit and corrective action if not met.</w:t>
            </w:r>
          </w:p>
        </w:tc>
      </w:tr>
      <w:tr>
        <w:tc>
          <w:tcPr>
            <w:tcW w:type="dxa" w:w="3360"/>
            <w:vAlign w:val="center"/>
          </w:tcPr>
          <w:p>
            <w:pPr>
              <w:spacing w:after="40"/>
            </w:pPr>
            <w:r>
              <w:rPr>
                <w:rFonts w:ascii="Arial" w:hAnsi="Arial"/>
                <w:sz w:val="17"/>
              </w:rPr>
            </w:r>
            <w:r>
              <w:rPr>
                <w:rFonts w:ascii="Arial" w:hAnsi="Arial"/>
                <w:b w:val="0"/>
                <w:sz w:val="17"/>
              </w:rPr>
              <w:t>Cooling</w:t>
            </w:r>
          </w:p>
        </w:tc>
        <w:tc>
          <w:tcPr>
            <w:tcW w:type="dxa" w:w="3360"/>
            <w:vAlign w:val="center"/>
          </w:tcPr>
          <w:p>
            <w:pPr>
              <w:spacing w:after="40"/>
            </w:pPr>
            <w:r>
              <w:rPr>
                <w:rFonts w:ascii="Arial" w:hAnsi="Arial"/>
                <w:sz w:val="17"/>
              </w:rPr>
            </w:r>
            <w:r>
              <w:rPr>
                <w:rFonts w:ascii="Arial" w:hAnsi="Arial"/>
                <w:b w:val="0"/>
                <w:sz w:val="17"/>
              </w:rPr>
              <w:t>Use shallow pans, small batches, ice baths, blast chillers if available, and active monitoring.</w:t>
            </w:r>
          </w:p>
        </w:tc>
        <w:tc>
          <w:tcPr>
            <w:tcW w:type="dxa" w:w="3360"/>
            <w:vAlign w:val="center"/>
          </w:tcPr>
          <w:p>
            <w:pPr>
              <w:spacing w:after="40"/>
            </w:pPr>
            <w:r>
              <w:rPr>
                <w:rFonts w:ascii="Arial" w:hAnsi="Arial"/>
                <w:sz w:val="17"/>
              </w:rPr>
            </w:r>
            <w:r>
              <w:rPr>
                <w:rFonts w:ascii="Arial" w:hAnsi="Arial"/>
                <w:b w:val="0"/>
                <w:sz w:val="17"/>
              </w:rPr>
              <w:t>Cooling time/temperature and log completion.</w:t>
            </w:r>
          </w:p>
        </w:tc>
      </w:tr>
      <w:tr>
        <w:tc>
          <w:tcPr>
            <w:tcW w:type="dxa" w:w="3360"/>
            <w:vAlign w:val="center"/>
          </w:tcPr>
          <w:p>
            <w:pPr>
              <w:spacing w:after="40"/>
            </w:pPr>
            <w:r>
              <w:rPr>
                <w:rFonts w:ascii="Arial" w:hAnsi="Arial"/>
                <w:sz w:val="17"/>
              </w:rPr>
            </w:r>
            <w:r>
              <w:rPr>
                <w:rFonts w:ascii="Arial" w:hAnsi="Arial"/>
                <w:b w:val="0"/>
                <w:sz w:val="17"/>
              </w:rPr>
              <w:t>Reheating</w:t>
            </w:r>
          </w:p>
        </w:tc>
        <w:tc>
          <w:tcPr>
            <w:tcW w:type="dxa" w:w="3360"/>
            <w:vAlign w:val="center"/>
          </w:tcPr>
          <w:p>
            <w:pPr>
              <w:spacing w:after="40"/>
            </w:pPr>
            <w:r>
              <w:rPr>
                <w:rFonts w:ascii="Arial" w:hAnsi="Arial"/>
                <w:sz w:val="17"/>
              </w:rPr>
            </w:r>
            <w:r>
              <w:rPr>
                <w:rFonts w:ascii="Arial" w:hAnsi="Arial"/>
                <w:b w:val="0"/>
                <w:sz w:val="17"/>
              </w:rPr>
              <w:t>Reheat rapidly to approved standard before hot holding unless local rule/process says otherwise.</w:t>
            </w:r>
          </w:p>
        </w:tc>
        <w:tc>
          <w:tcPr>
            <w:tcW w:type="dxa" w:w="3360"/>
            <w:vAlign w:val="center"/>
          </w:tcPr>
          <w:p>
            <w:pPr>
              <w:spacing w:after="40"/>
            </w:pPr>
            <w:r>
              <w:rPr>
                <w:rFonts w:ascii="Arial" w:hAnsi="Arial"/>
                <w:sz w:val="17"/>
              </w:rPr>
            </w:r>
            <w:r>
              <w:rPr>
                <w:rFonts w:ascii="Arial" w:hAnsi="Arial"/>
                <w:b w:val="0"/>
                <w:sz w:val="17"/>
              </w:rPr>
              <w:t>Reheat limit and time control.</w:t>
            </w:r>
          </w:p>
        </w:tc>
      </w:tr>
      <w:tr>
        <w:tc>
          <w:tcPr>
            <w:tcW w:type="dxa" w:w="3360"/>
            <w:vAlign w:val="center"/>
          </w:tcPr>
          <w:p>
            <w:pPr>
              <w:spacing w:after="40"/>
            </w:pPr>
            <w:r>
              <w:rPr>
                <w:rFonts w:ascii="Arial" w:hAnsi="Arial"/>
                <w:sz w:val="17"/>
              </w:rPr>
            </w:r>
            <w:r>
              <w:rPr>
                <w:rFonts w:ascii="Arial" w:hAnsi="Arial"/>
                <w:b w:val="0"/>
                <w:sz w:val="17"/>
              </w:rPr>
              <w:t>Hot/cold holding</w:t>
            </w:r>
          </w:p>
        </w:tc>
        <w:tc>
          <w:tcPr>
            <w:tcW w:type="dxa" w:w="3360"/>
            <w:vAlign w:val="center"/>
          </w:tcPr>
          <w:p>
            <w:pPr>
              <w:spacing w:after="40"/>
            </w:pPr>
            <w:r>
              <w:rPr>
                <w:rFonts w:ascii="Arial" w:hAnsi="Arial"/>
                <w:sz w:val="17"/>
              </w:rPr>
            </w:r>
            <w:r>
              <w:rPr>
                <w:rFonts w:ascii="Arial" w:hAnsi="Arial"/>
                <w:b w:val="0"/>
                <w:sz w:val="17"/>
              </w:rPr>
              <w:t>Use functioning equipment; monitor on schedule; correct immediately if out of range.</w:t>
            </w:r>
          </w:p>
        </w:tc>
        <w:tc>
          <w:tcPr>
            <w:tcW w:type="dxa" w:w="3360"/>
            <w:vAlign w:val="center"/>
          </w:tcPr>
          <w:p>
            <w:pPr>
              <w:spacing w:after="40"/>
            </w:pPr>
            <w:r>
              <w:rPr>
                <w:rFonts w:ascii="Arial" w:hAnsi="Arial"/>
                <w:sz w:val="17"/>
              </w:rPr>
            </w:r>
            <w:r>
              <w:rPr>
                <w:rFonts w:ascii="Arial" w:hAnsi="Arial"/>
                <w:b w:val="0"/>
                <w:sz w:val="17"/>
              </w:rPr>
              <w:t>Holding temperature, time marking, discard decision.</w:t>
            </w:r>
          </w:p>
        </w:tc>
      </w:tr>
      <w:tr>
        <w:tc>
          <w:tcPr>
            <w:tcW w:type="dxa" w:w="3360"/>
            <w:vAlign w:val="center"/>
          </w:tcPr>
          <w:p>
            <w:pPr>
              <w:spacing w:after="40"/>
            </w:pPr>
            <w:r>
              <w:rPr>
                <w:rFonts w:ascii="Arial" w:hAnsi="Arial"/>
                <w:sz w:val="17"/>
              </w:rPr>
            </w:r>
            <w:r>
              <w:rPr>
                <w:rFonts w:ascii="Arial" w:hAnsi="Arial"/>
                <w:b w:val="0"/>
                <w:sz w:val="17"/>
              </w:rPr>
              <w:t>Packaging/service</w:t>
            </w:r>
          </w:p>
        </w:tc>
        <w:tc>
          <w:tcPr>
            <w:tcW w:type="dxa" w:w="3360"/>
            <w:vAlign w:val="center"/>
          </w:tcPr>
          <w:p>
            <w:pPr>
              <w:spacing w:after="40"/>
            </w:pPr>
            <w:r>
              <w:rPr>
                <w:rFonts w:ascii="Arial" w:hAnsi="Arial"/>
                <w:sz w:val="17"/>
              </w:rPr>
            </w:r>
            <w:r>
              <w:rPr>
                <w:rFonts w:ascii="Arial" w:hAnsi="Arial"/>
                <w:b w:val="0"/>
                <w:sz w:val="17"/>
              </w:rPr>
              <w:t>Protect food from contamination; verify label/allergen and order accuracy.</w:t>
            </w:r>
          </w:p>
        </w:tc>
        <w:tc>
          <w:tcPr>
            <w:tcW w:type="dxa" w:w="3360"/>
            <w:vAlign w:val="center"/>
          </w:tcPr>
          <w:p>
            <w:pPr>
              <w:spacing w:after="40"/>
            </w:pPr>
            <w:r>
              <w:rPr>
                <w:rFonts w:ascii="Arial" w:hAnsi="Arial"/>
                <w:sz w:val="17"/>
              </w:rPr>
            </w:r>
            <w:r>
              <w:rPr>
                <w:rFonts w:ascii="Arial" w:hAnsi="Arial"/>
                <w:b w:val="0"/>
                <w:sz w:val="17"/>
              </w:rPr>
              <w:t>Final quality and allergen check.</w:t>
            </w:r>
          </w:p>
        </w:tc>
      </w:tr>
    </w:tbl>
    <w:p/>
    <w:p>
      <w:pPr>
        <w:pStyle w:val="Heading2"/>
      </w:pPr>
      <w:r>
        <w:t>4.5 Dishwashing, Cleaning, Closing, and Manager Handoff</w:t>
      </w:r>
    </w:p>
    <w:p>
      <w:pPr>
        <w:pStyle w:val="ListNumber"/>
      </w:pPr>
      <w:r>
        <w:t>Separate dirty return from clean storage and food production; scrape and pre-rinse only in assigned areas.</w:t>
      </w:r>
    </w:p>
    <w:p>
      <w:pPr>
        <w:pStyle w:val="ListNumber"/>
      </w:pPr>
      <w:r>
        <w:t>Wash, rinse, sanitize, and air dry; do not towel-dry food-contact items unless approved by procedure.</w:t>
      </w:r>
    </w:p>
    <w:p>
      <w:pPr>
        <w:pStyle w:val="ListNumber"/>
      </w:pPr>
      <w:r>
        <w:t>Clean food-contact surfaces first, then non-food-contact surfaces, then floors, drains, trash, and mop areas.</w:t>
      </w:r>
    </w:p>
    <w:p>
      <w:pPr>
        <w:pStyle w:val="ListNumber"/>
      </w:pPr>
      <w:r>
        <w:t>Store retained food safely with complete labels; discard food that lacks safe time/temperature or identity control.</w:t>
      </w:r>
    </w:p>
    <w:p>
      <w:pPr>
        <w:pStyle w:val="ListNumber"/>
      </w:pPr>
      <w:r>
        <w:t>Manager verifies logs, trash, grease, chemicals, refrigeration, security, and next-day prep notes.</w:t>
      </w:r>
    </w:p>
    <w:p>
      <w:pPr>
        <w:pStyle w:val="ListNumber"/>
      </w:pPr>
      <w:r>
        <w:t>Handoff report records shortages, maintenance needs, incidents, rejected deliveries, waste, and corrective actions.</w:t>
      </w:r>
    </w:p>
    <w:p>
      <w:pPr>
        <w:pStyle w:val="Heading1"/>
      </w:pPr>
      <w:r>
        <w:t>5. Inventory and Purchasing</w:t>
      </w:r>
    </w:p>
    <w:p>
      <w:r>
        <w:t>Inventory must protect cash and compliance. The kitchen should use approved vendors, order guides, par levels, receiving standards, and variance tracking. Shared-use facilities also need owner/operator labels so inventory responsibility is never ambiguous.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Tool</w:t>
            </w:r>
          </w:p>
        </w:tc>
        <w:tc>
          <w:tcPr>
            <w:tcW w:type="dxa" w:w="3360"/>
            <w:vAlign w:val="center"/>
            <w:shd w:fill="1F4E5F"/>
          </w:tcPr>
          <w:p>
            <w:pPr>
              <w:spacing w:after="40"/>
            </w:pPr>
            <w:r>
              <w:rPr>
                <w:rFonts w:ascii="Arial" w:hAnsi="Arial"/>
                <w:sz w:val="17"/>
              </w:rPr>
            </w:r>
            <w:r>
              <w:rPr>
                <w:rFonts w:ascii="Arial" w:hAnsi="Arial"/>
                <w:b/>
                <w:color w:val="FFFFFF"/>
                <w:sz w:val="17"/>
              </w:rPr>
              <w:t>How It Works</w:t>
            </w:r>
          </w:p>
        </w:tc>
        <w:tc>
          <w:tcPr>
            <w:tcW w:type="dxa" w:w="3360"/>
            <w:vAlign w:val="center"/>
            <w:shd w:fill="1F4E5F"/>
          </w:tcPr>
          <w:p>
            <w:pPr>
              <w:spacing w:after="40"/>
            </w:pPr>
            <w:r>
              <w:rPr>
                <w:rFonts w:ascii="Arial" w:hAnsi="Arial"/>
                <w:sz w:val="17"/>
              </w:rPr>
            </w:r>
            <w:r>
              <w:rPr>
                <w:rFonts w:ascii="Arial" w:hAnsi="Arial"/>
                <w:b/>
                <w:color w:val="FFFFFF"/>
                <w:sz w:val="17"/>
              </w:rPr>
              <w:t>Review Cadence</w:t>
            </w:r>
          </w:p>
        </w:tc>
      </w:tr>
      <w:tr>
        <w:tc>
          <w:tcPr>
            <w:tcW w:type="dxa" w:w="3360"/>
            <w:vAlign w:val="center"/>
          </w:tcPr>
          <w:p>
            <w:pPr>
              <w:spacing w:after="40"/>
            </w:pPr>
            <w:r>
              <w:rPr>
                <w:rFonts w:ascii="Arial" w:hAnsi="Arial"/>
                <w:sz w:val="17"/>
              </w:rPr>
            </w:r>
            <w:r>
              <w:rPr>
                <w:rFonts w:ascii="Arial" w:hAnsi="Arial"/>
                <w:b w:val="0"/>
                <w:sz w:val="17"/>
              </w:rPr>
              <w:t>Order guide</w:t>
            </w:r>
          </w:p>
        </w:tc>
        <w:tc>
          <w:tcPr>
            <w:tcW w:type="dxa" w:w="3360"/>
            <w:vAlign w:val="center"/>
          </w:tcPr>
          <w:p>
            <w:pPr>
              <w:spacing w:after="40"/>
            </w:pPr>
            <w:r>
              <w:rPr>
                <w:rFonts w:ascii="Arial" w:hAnsi="Arial"/>
                <w:sz w:val="17"/>
              </w:rPr>
            </w:r>
            <w:r>
              <w:rPr>
                <w:rFonts w:ascii="Arial" w:hAnsi="Arial"/>
                <w:b w:val="0"/>
                <w:sz w:val="17"/>
              </w:rPr>
              <w:t>Lists approved products, pack sizes, vendors, order days, par, minimum, and substitute rules.</w:t>
            </w:r>
          </w:p>
        </w:tc>
        <w:tc>
          <w:tcPr>
            <w:tcW w:type="dxa" w:w="3360"/>
            <w:vAlign w:val="center"/>
          </w:tcPr>
          <w:p>
            <w:pPr>
              <w:spacing w:after="40"/>
            </w:pPr>
            <w:r>
              <w:rPr>
                <w:rFonts w:ascii="Arial" w:hAnsi="Arial"/>
                <w:sz w:val="17"/>
              </w:rPr>
            </w:r>
            <w:r>
              <w:rPr>
                <w:rFonts w:ascii="Arial" w:hAnsi="Arial"/>
                <w:b w:val="0"/>
                <w:sz w:val="17"/>
              </w:rPr>
              <w:t>Weekly; after menu change.</w:t>
            </w:r>
          </w:p>
        </w:tc>
      </w:tr>
      <w:tr>
        <w:tc>
          <w:tcPr>
            <w:tcW w:type="dxa" w:w="3360"/>
            <w:vAlign w:val="center"/>
          </w:tcPr>
          <w:p>
            <w:pPr>
              <w:spacing w:after="40"/>
            </w:pPr>
            <w:r>
              <w:rPr>
                <w:rFonts w:ascii="Arial" w:hAnsi="Arial"/>
                <w:sz w:val="17"/>
              </w:rPr>
            </w:r>
            <w:r>
              <w:rPr>
                <w:rFonts w:ascii="Arial" w:hAnsi="Arial"/>
                <w:b w:val="0"/>
                <w:sz w:val="17"/>
              </w:rPr>
              <w:t>Par-setting method</w:t>
            </w:r>
          </w:p>
        </w:tc>
        <w:tc>
          <w:tcPr>
            <w:tcW w:type="dxa" w:w="3360"/>
            <w:vAlign w:val="center"/>
          </w:tcPr>
          <w:p>
            <w:pPr>
              <w:spacing w:after="40"/>
            </w:pPr>
            <w:r>
              <w:rPr>
                <w:rFonts w:ascii="Arial" w:hAnsi="Arial"/>
                <w:sz w:val="17"/>
              </w:rPr>
            </w:r>
            <w:r>
              <w:rPr>
                <w:rFonts w:ascii="Arial" w:hAnsi="Arial"/>
                <w:b w:val="0"/>
                <w:sz w:val="17"/>
              </w:rPr>
              <w:t>Set par from forecasted demand, lead time, shelf life, delivery reliability, and emergency cushion.</w:t>
            </w:r>
          </w:p>
        </w:tc>
        <w:tc>
          <w:tcPr>
            <w:tcW w:type="dxa" w:w="3360"/>
            <w:vAlign w:val="center"/>
          </w:tcPr>
          <w:p>
            <w:pPr>
              <w:spacing w:after="40"/>
            </w:pPr>
            <w:r>
              <w:rPr>
                <w:rFonts w:ascii="Arial" w:hAnsi="Arial"/>
                <w:sz w:val="17"/>
              </w:rPr>
            </w:r>
            <w:r>
              <w:rPr>
                <w:rFonts w:ascii="Arial" w:hAnsi="Arial"/>
                <w:b w:val="0"/>
                <w:sz w:val="17"/>
              </w:rPr>
              <w:t>Monthly until stable.</w:t>
            </w:r>
          </w:p>
        </w:tc>
      </w:tr>
      <w:tr>
        <w:tc>
          <w:tcPr>
            <w:tcW w:type="dxa" w:w="3360"/>
            <w:vAlign w:val="center"/>
          </w:tcPr>
          <w:p>
            <w:pPr>
              <w:spacing w:after="40"/>
            </w:pPr>
            <w:r>
              <w:rPr>
                <w:rFonts w:ascii="Arial" w:hAnsi="Arial"/>
                <w:sz w:val="17"/>
              </w:rPr>
            </w:r>
            <w:r>
              <w:rPr>
                <w:rFonts w:ascii="Arial" w:hAnsi="Arial"/>
                <w:b w:val="0"/>
                <w:sz w:val="17"/>
              </w:rPr>
              <w:t>Vendor scorecard</w:t>
            </w:r>
          </w:p>
        </w:tc>
        <w:tc>
          <w:tcPr>
            <w:tcW w:type="dxa" w:w="3360"/>
            <w:vAlign w:val="center"/>
          </w:tcPr>
          <w:p>
            <w:pPr>
              <w:spacing w:after="40"/>
            </w:pPr>
            <w:r>
              <w:rPr>
                <w:rFonts w:ascii="Arial" w:hAnsi="Arial"/>
                <w:sz w:val="17"/>
              </w:rPr>
            </w:r>
            <w:r>
              <w:rPr>
                <w:rFonts w:ascii="Arial" w:hAnsi="Arial"/>
                <w:b w:val="0"/>
                <w:sz w:val="17"/>
              </w:rPr>
              <w:t>Track late delivery, substitutions, rejected product, pricing variance, communication, and credit response.</w:t>
            </w:r>
          </w:p>
        </w:tc>
        <w:tc>
          <w:tcPr>
            <w:tcW w:type="dxa" w:w="3360"/>
            <w:vAlign w:val="center"/>
          </w:tcPr>
          <w:p>
            <w:pPr>
              <w:spacing w:after="40"/>
            </w:pPr>
            <w:r>
              <w:rPr>
                <w:rFonts w:ascii="Arial" w:hAnsi="Arial"/>
                <w:sz w:val="17"/>
              </w:rPr>
            </w:r>
            <w:r>
              <w:rPr>
                <w:rFonts w:ascii="Arial" w:hAnsi="Arial"/>
                <w:b w:val="0"/>
                <w:sz w:val="17"/>
              </w:rPr>
              <w:t>Monthly.</w:t>
            </w:r>
          </w:p>
        </w:tc>
      </w:tr>
      <w:tr>
        <w:tc>
          <w:tcPr>
            <w:tcW w:type="dxa" w:w="3360"/>
            <w:vAlign w:val="center"/>
          </w:tcPr>
          <w:p>
            <w:pPr>
              <w:spacing w:after="40"/>
            </w:pPr>
            <w:r>
              <w:rPr>
                <w:rFonts w:ascii="Arial" w:hAnsi="Arial"/>
                <w:sz w:val="17"/>
              </w:rPr>
            </w:r>
            <w:r>
              <w:rPr>
                <w:rFonts w:ascii="Arial" w:hAnsi="Arial"/>
                <w:b w:val="0"/>
                <w:sz w:val="17"/>
              </w:rPr>
              <w:t>Waste classification</w:t>
            </w:r>
          </w:p>
        </w:tc>
        <w:tc>
          <w:tcPr>
            <w:tcW w:type="dxa" w:w="3360"/>
            <w:vAlign w:val="center"/>
          </w:tcPr>
          <w:p>
            <w:pPr>
              <w:spacing w:after="40"/>
            </w:pPr>
            <w:r>
              <w:rPr>
                <w:rFonts w:ascii="Arial" w:hAnsi="Arial"/>
                <w:sz w:val="17"/>
              </w:rPr>
            </w:r>
            <w:r>
              <w:rPr>
                <w:rFonts w:ascii="Arial" w:hAnsi="Arial"/>
                <w:b w:val="0"/>
                <w:sz w:val="17"/>
              </w:rPr>
              <w:t>Log trim waste, spoilage, overproduction, service error, dropped/damaged product, expired product.</w:t>
            </w:r>
          </w:p>
        </w:tc>
        <w:tc>
          <w:tcPr>
            <w:tcW w:type="dxa" w:w="3360"/>
            <w:vAlign w:val="center"/>
          </w:tcPr>
          <w:p>
            <w:pPr>
              <w:spacing w:after="40"/>
            </w:pPr>
            <w:r>
              <w:rPr>
                <w:rFonts w:ascii="Arial" w:hAnsi="Arial"/>
                <w:sz w:val="17"/>
              </w:rPr>
            </w:r>
            <w:r>
              <w:rPr>
                <w:rFonts w:ascii="Arial" w:hAnsi="Arial"/>
                <w:b w:val="0"/>
                <w:sz w:val="17"/>
              </w:rPr>
              <w:t>Daily/weekly review.</w:t>
            </w:r>
          </w:p>
        </w:tc>
      </w:tr>
      <w:tr>
        <w:tc>
          <w:tcPr>
            <w:tcW w:type="dxa" w:w="3360"/>
            <w:vAlign w:val="center"/>
          </w:tcPr>
          <w:p>
            <w:pPr>
              <w:spacing w:after="40"/>
            </w:pPr>
            <w:r>
              <w:rPr>
                <w:rFonts w:ascii="Arial" w:hAnsi="Arial"/>
                <w:sz w:val="17"/>
              </w:rPr>
            </w:r>
            <w:r>
              <w:rPr>
                <w:rFonts w:ascii="Arial" w:hAnsi="Arial"/>
                <w:b w:val="0"/>
                <w:sz w:val="17"/>
              </w:rPr>
              <w:t>Inventory ownership</w:t>
            </w:r>
          </w:p>
        </w:tc>
        <w:tc>
          <w:tcPr>
            <w:tcW w:type="dxa" w:w="3360"/>
            <w:vAlign w:val="center"/>
          </w:tcPr>
          <w:p>
            <w:pPr>
              <w:spacing w:after="40"/>
            </w:pPr>
            <w:r>
              <w:rPr>
                <w:rFonts w:ascii="Arial" w:hAnsi="Arial"/>
                <w:sz w:val="17"/>
              </w:rPr>
            </w:r>
            <w:r>
              <w:rPr>
                <w:rFonts w:ascii="Arial" w:hAnsi="Arial"/>
                <w:b w:val="0"/>
                <w:sz w:val="17"/>
              </w:rPr>
              <w:t>Every shared-use item has owner/operator, date, product name, and storage location.</w:t>
            </w:r>
          </w:p>
        </w:tc>
        <w:tc>
          <w:tcPr>
            <w:tcW w:type="dxa" w:w="3360"/>
            <w:vAlign w:val="center"/>
          </w:tcPr>
          <w:p>
            <w:pPr>
              <w:spacing w:after="40"/>
            </w:pPr>
            <w:r>
              <w:rPr>
                <w:rFonts w:ascii="Arial" w:hAnsi="Arial"/>
                <w:sz w:val="17"/>
              </w:rPr>
            </w:r>
            <w:r>
              <w:rPr>
                <w:rFonts w:ascii="Arial" w:hAnsi="Arial"/>
                <w:b w:val="0"/>
                <w:sz w:val="17"/>
              </w:rPr>
              <w:t>Each shift.</w:t>
            </w:r>
          </w:p>
        </w:tc>
      </w:tr>
    </w:tbl>
    <w:p/>
    <w:p>
      <w:pPr>
        <w:pStyle w:val="Heading1"/>
      </w:pPr>
      <w:r>
        <w:t>6. Equipment and Maintenance</w:t>
      </w:r>
    </w:p>
    <w:p>
      <w:r>
        <w:t>Maintenance is part of food safety. Refrigeration, hot holding, dishwashing, ventilation, fire suppression, grease management, and water systems directly affect safe operation.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Cadence</w:t>
            </w:r>
          </w:p>
        </w:tc>
        <w:tc>
          <w:tcPr>
            <w:tcW w:type="dxa" w:w="3360"/>
            <w:vAlign w:val="center"/>
            <w:shd w:fill="1F4E5F"/>
          </w:tcPr>
          <w:p>
            <w:pPr>
              <w:spacing w:after="40"/>
            </w:pPr>
            <w:r>
              <w:rPr>
                <w:rFonts w:ascii="Arial" w:hAnsi="Arial"/>
                <w:sz w:val="17"/>
              </w:rPr>
            </w:r>
            <w:r>
              <w:rPr>
                <w:rFonts w:ascii="Arial" w:hAnsi="Arial"/>
                <w:b/>
                <w:color w:val="FFFFFF"/>
                <w:sz w:val="17"/>
              </w:rPr>
              <w:t>Tasks</w:t>
            </w:r>
          </w:p>
        </w:tc>
        <w:tc>
          <w:tcPr>
            <w:tcW w:type="dxa" w:w="3360"/>
            <w:vAlign w:val="center"/>
            <w:shd w:fill="1F4E5F"/>
          </w:tcPr>
          <w:p>
            <w:pPr>
              <w:spacing w:after="40"/>
            </w:pPr>
            <w:r>
              <w:rPr>
                <w:rFonts w:ascii="Arial" w:hAnsi="Arial"/>
                <w:sz w:val="17"/>
              </w:rPr>
            </w:r>
            <w:r>
              <w:rPr>
                <w:rFonts w:ascii="Arial" w:hAnsi="Arial"/>
                <w:b/>
                <w:color w:val="FFFFFF"/>
                <w:sz w:val="17"/>
              </w:rPr>
              <w:t>Owner</w:t>
            </w:r>
          </w:p>
        </w:tc>
      </w:tr>
      <w:tr>
        <w:tc>
          <w:tcPr>
            <w:tcW w:type="dxa" w:w="3360"/>
            <w:vAlign w:val="center"/>
          </w:tcPr>
          <w:p>
            <w:pPr>
              <w:spacing w:after="40"/>
            </w:pPr>
            <w:r>
              <w:rPr>
                <w:rFonts w:ascii="Arial" w:hAnsi="Arial"/>
                <w:sz w:val="17"/>
              </w:rPr>
            </w:r>
            <w:r>
              <w:rPr>
                <w:rFonts w:ascii="Arial" w:hAnsi="Arial"/>
                <w:b w:val="0"/>
                <w:sz w:val="17"/>
              </w:rPr>
              <w:t>Daily</w:t>
            </w:r>
          </w:p>
        </w:tc>
        <w:tc>
          <w:tcPr>
            <w:tcW w:type="dxa" w:w="3360"/>
            <w:vAlign w:val="center"/>
          </w:tcPr>
          <w:p>
            <w:pPr>
              <w:spacing w:after="40"/>
            </w:pPr>
            <w:r>
              <w:rPr>
                <w:rFonts w:ascii="Arial" w:hAnsi="Arial"/>
                <w:sz w:val="17"/>
              </w:rPr>
            </w:r>
            <w:r>
              <w:rPr>
                <w:rFonts w:ascii="Arial" w:hAnsi="Arial"/>
                <w:b w:val="0"/>
                <w:sz w:val="17"/>
              </w:rPr>
              <w:t>Log refrigeration, inspect equipment damage, clean food-contact surfaces, check sanitizer, empty waste, note repair issues.</w:t>
            </w:r>
          </w:p>
        </w:tc>
        <w:tc>
          <w:tcPr>
            <w:tcW w:type="dxa" w:w="3360"/>
            <w:vAlign w:val="center"/>
          </w:tcPr>
          <w:p>
            <w:pPr>
              <w:spacing w:after="40"/>
            </w:pPr>
            <w:r>
              <w:rPr>
                <w:rFonts w:ascii="Arial" w:hAnsi="Arial"/>
                <w:sz w:val="17"/>
              </w:rPr>
            </w:r>
            <w:r>
              <w:rPr>
                <w:rFonts w:ascii="Arial" w:hAnsi="Arial"/>
                <w:b w:val="0"/>
                <w:sz w:val="17"/>
              </w:rPr>
              <w:t>Shift Lead</w:t>
            </w:r>
          </w:p>
        </w:tc>
      </w:tr>
      <w:tr>
        <w:tc>
          <w:tcPr>
            <w:tcW w:type="dxa" w:w="3360"/>
            <w:vAlign w:val="center"/>
          </w:tcPr>
          <w:p>
            <w:pPr>
              <w:spacing w:after="40"/>
            </w:pPr>
            <w:r>
              <w:rPr>
                <w:rFonts w:ascii="Arial" w:hAnsi="Arial"/>
                <w:sz w:val="17"/>
              </w:rPr>
            </w:r>
            <w:r>
              <w:rPr>
                <w:rFonts w:ascii="Arial" w:hAnsi="Arial"/>
                <w:b w:val="0"/>
                <w:sz w:val="17"/>
              </w:rPr>
              <w:t>Weekly</w:t>
            </w:r>
          </w:p>
        </w:tc>
        <w:tc>
          <w:tcPr>
            <w:tcW w:type="dxa" w:w="3360"/>
            <w:vAlign w:val="center"/>
          </w:tcPr>
          <w:p>
            <w:pPr>
              <w:spacing w:after="40"/>
            </w:pPr>
            <w:r>
              <w:rPr>
                <w:rFonts w:ascii="Arial" w:hAnsi="Arial"/>
                <w:sz w:val="17"/>
              </w:rPr>
            </w:r>
            <w:r>
              <w:rPr>
                <w:rFonts w:ascii="Arial" w:hAnsi="Arial"/>
                <w:b w:val="0"/>
                <w:sz w:val="17"/>
              </w:rPr>
              <w:t>Deep-clean equipment zones, inspect gaskets, clean hood filters where allowed, descale as needed, review work orders.</w:t>
            </w:r>
          </w:p>
        </w:tc>
        <w:tc>
          <w:tcPr>
            <w:tcW w:type="dxa" w:w="3360"/>
            <w:vAlign w:val="center"/>
          </w:tcPr>
          <w:p>
            <w:pPr>
              <w:spacing w:after="40"/>
            </w:pPr>
            <w:r>
              <w:rPr>
                <w:rFonts w:ascii="Arial" w:hAnsi="Arial"/>
                <w:sz w:val="17"/>
              </w:rPr>
            </w:r>
            <w:r>
              <w:rPr>
                <w:rFonts w:ascii="Arial" w:hAnsi="Arial"/>
                <w:b w:val="0"/>
                <w:sz w:val="17"/>
              </w:rPr>
              <w:t>Kitchen Manager / Facilities</w:t>
            </w:r>
          </w:p>
        </w:tc>
      </w:tr>
      <w:tr>
        <w:tc>
          <w:tcPr>
            <w:tcW w:type="dxa" w:w="3360"/>
            <w:vAlign w:val="center"/>
          </w:tcPr>
          <w:p>
            <w:pPr>
              <w:spacing w:after="40"/>
            </w:pPr>
            <w:r>
              <w:rPr>
                <w:rFonts w:ascii="Arial" w:hAnsi="Arial"/>
                <w:sz w:val="17"/>
              </w:rPr>
            </w:r>
            <w:r>
              <w:rPr>
                <w:rFonts w:ascii="Arial" w:hAnsi="Arial"/>
                <w:b w:val="0"/>
                <w:sz w:val="17"/>
              </w:rPr>
              <w:t>Monthly</w:t>
            </w:r>
          </w:p>
        </w:tc>
        <w:tc>
          <w:tcPr>
            <w:tcW w:type="dxa" w:w="3360"/>
            <w:vAlign w:val="center"/>
          </w:tcPr>
          <w:p>
            <w:pPr>
              <w:spacing w:after="40"/>
            </w:pPr>
            <w:r>
              <w:rPr>
                <w:rFonts w:ascii="Arial" w:hAnsi="Arial"/>
                <w:sz w:val="17"/>
              </w:rPr>
            </w:r>
            <w:r>
              <w:rPr>
                <w:rFonts w:ascii="Arial" w:hAnsi="Arial"/>
                <w:b w:val="0"/>
                <w:sz w:val="17"/>
              </w:rPr>
              <w:t>Calibrate thermometers, inspect smallwares, review pest reports, check emergency supplies, audit chemical storage.</w:t>
            </w:r>
          </w:p>
        </w:tc>
        <w:tc>
          <w:tcPr>
            <w:tcW w:type="dxa" w:w="3360"/>
            <w:vAlign w:val="center"/>
          </w:tcPr>
          <w:p>
            <w:pPr>
              <w:spacing w:after="40"/>
            </w:pPr>
            <w:r>
              <w:rPr>
                <w:rFonts w:ascii="Arial" w:hAnsi="Arial"/>
                <w:sz w:val="17"/>
              </w:rPr>
            </w:r>
            <w:r>
              <w:rPr>
                <w:rFonts w:ascii="Arial" w:hAnsi="Arial"/>
                <w:b w:val="0"/>
                <w:sz w:val="17"/>
              </w:rPr>
              <w:t>Kitchen Manager</w:t>
            </w:r>
          </w:p>
        </w:tc>
      </w:tr>
      <w:tr>
        <w:tc>
          <w:tcPr>
            <w:tcW w:type="dxa" w:w="3360"/>
            <w:vAlign w:val="center"/>
          </w:tcPr>
          <w:p>
            <w:pPr>
              <w:spacing w:after="40"/>
            </w:pPr>
            <w:r>
              <w:rPr>
                <w:rFonts w:ascii="Arial" w:hAnsi="Arial"/>
                <w:sz w:val="17"/>
              </w:rPr>
            </w:r>
            <w:r>
              <w:rPr>
                <w:rFonts w:ascii="Arial" w:hAnsi="Arial"/>
                <w:b w:val="0"/>
                <w:sz w:val="17"/>
              </w:rPr>
              <w:t>Quarterly/Semiannual</w:t>
            </w:r>
          </w:p>
        </w:tc>
        <w:tc>
          <w:tcPr>
            <w:tcW w:type="dxa" w:w="3360"/>
            <w:vAlign w:val="center"/>
          </w:tcPr>
          <w:p>
            <w:pPr>
              <w:spacing w:after="40"/>
            </w:pPr>
            <w:r>
              <w:rPr>
                <w:rFonts w:ascii="Arial" w:hAnsi="Arial"/>
                <w:sz w:val="17"/>
              </w:rPr>
            </w:r>
            <w:r>
              <w:rPr>
                <w:rFonts w:ascii="Arial" w:hAnsi="Arial"/>
                <w:b w:val="0"/>
                <w:sz w:val="17"/>
              </w:rPr>
              <w:t>Coordinate hood/fire suppression, refrigeration, HVAC, grease interceptor, pest control, dish machine, and specialized vendor service.</w:t>
            </w:r>
          </w:p>
        </w:tc>
        <w:tc>
          <w:tcPr>
            <w:tcW w:type="dxa" w:w="3360"/>
            <w:vAlign w:val="center"/>
          </w:tcPr>
          <w:p>
            <w:pPr>
              <w:spacing w:after="40"/>
            </w:pPr>
            <w:r>
              <w:rPr>
                <w:rFonts w:ascii="Arial" w:hAnsi="Arial"/>
                <w:sz w:val="17"/>
              </w:rPr>
            </w:r>
            <w:r>
              <w:rPr>
                <w:rFonts w:ascii="Arial" w:hAnsi="Arial"/>
                <w:b w:val="0"/>
                <w:sz w:val="17"/>
              </w:rPr>
              <w:t>Facilities Lead</w:t>
            </w:r>
          </w:p>
        </w:tc>
      </w:tr>
      <w:tr>
        <w:tc>
          <w:tcPr>
            <w:tcW w:type="dxa" w:w="3360"/>
            <w:vAlign w:val="center"/>
          </w:tcPr>
          <w:p>
            <w:pPr>
              <w:spacing w:after="40"/>
            </w:pPr>
            <w:r>
              <w:rPr>
                <w:rFonts w:ascii="Arial" w:hAnsi="Arial"/>
                <w:sz w:val="17"/>
              </w:rPr>
            </w:r>
            <w:r>
              <w:rPr>
                <w:rFonts w:ascii="Arial" w:hAnsi="Arial"/>
                <w:b w:val="0"/>
                <w:sz w:val="17"/>
              </w:rPr>
              <w:t>Emergency</w:t>
            </w:r>
          </w:p>
        </w:tc>
        <w:tc>
          <w:tcPr>
            <w:tcW w:type="dxa" w:w="3360"/>
            <w:vAlign w:val="center"/>
          </w:tcPr>
          <w:p>
            <w:pPr>
              <w:spacing w:after="40"/>
            </w:pPr>
            <w:r>
              <w:rPr>
                <w:rFonts w:ascii="Arial" w:hAnsi="Arial"/>
                <w:sz w:val="17"/>
              </w:rPr>
            </w:r>
            <w:r>
              <w:rPr>
                <w:rFonts w:ascii="Arial" w:hAnsi="Arial"/>
                <w:b w:val="0"/>
                <w:sz w:val="17"/>
              </w:rPr>
              <w:t>Protect food, stop affected operation, call repair vendor, document product disposition, communicate menu/service limitations.</w:t>
            </w:r>
          </w:p>
        </w:tc>
        <w:tc>
          <w:tcPr>
            <w:tcW w:type="dxa" w:w="3360"/>
            <w:vAlign w:val="center"/>
          </w:tcPr>
          <w:p>
            <w:pPr>
              <w:spacing w:after="40"/>
            </w:pPr>
            <w:r>
              <w:rPr>
                <w:rFonts w:ascii="Arial" w:hAnsi="Arial"/>
                <w:sz w:val="17"/>
              </w:rPr>
            </w:r>
            <w:r>
              <w:rPr>
                <w:rFonts w:ascii="Arial" w:hAnsi="Arial"/>
                <w:b w:val="0"/>
                <w:sz w:val="17"/>
              </w:rPr>
              <w:t>Person in Charge</w:t>
            </w:r>
          </w:p>
        </w:tc>
      </w:tr>
    </w:tbl>
    <w:p/>
    <w:p>
      <w:pPr>
        <w:pStyle w:val="Heading2"/>
      </w:pPr>
      <w:r>
        <w:t>6.1 Utility and Equipment Failure Response</w:t>
      </w:r>
    </w:p>
    <w:p>
      <w:pPr>
        <w:pStyle w:val="ListBullet"/>
      </w:pPr>
      <w:r>
        <w:t>Power outage: keep cold storage closed, start time tracking, protect food, and follow local authority/insurance guidance before reopening.</w:t>
      </w:r>
    </w:p>
    <w:p>
      <w:pPr>
        <w:pStyle w:val="ListBullet"/>
      </w:pPr>
      <w:r>
        <w:t>Refrigeration failure: move food to verified alternate cold holding, log temperatures, quarantine questionable product, call service vendor.</w:t>
      </w:r>
    </w:p>
    <w:p>
      <w:pPr>
        <w:pStyle w:val="ListBullet"/>
      </w:pPr>
      <w:r>
        <w:t>Hood/fire suppression issue: stop heat-producing equipment under the affected hood until safe operation is confirmed.</w:t>
      </w:r>
    </w:p>
    <w:p>
      <w:pPr>
        <w:pStyle w:val="ListBullet"/>
      </w:pPr>
      <w:r>
        <w:t>Water interruption: stop operations that require handwashing, warewashing, produce washing, cooking water, or sanitation until approved alternate procedures are in place.</w:t>
      </w:r>
    </w:p>
    <w:p>
      <w:pPr>
        <w:pStyle w:val="ListBullet"/>
      </w:pPr>
      <w:r>
        <w:t>Grease interceptor issue: stop operations contributing to overflow or backup; protect food areas and call service provider.</w:t>
      </w:r>
    </w:p>
    <w:p>
      <w:pPr>
        <w:pStyle w:val="Heading1"/>
      </w:pPr>
      <w:r>
        <w:t>7. Staffing, Roles, and Training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Role</w:t>
            </w:r>
          </w:p>
        </w:tc>
        <w:tc>
          <w:tcPr>
            <w:tcW w:type="dxa" w:w="3360"/>
            <w:vAlign w:val="center"/>
            <w:shd w:fill="1F4E5F"/>
          </w:tcPr>
          <w:p>
            <w:pPr>
              <w:spacing w:after="40"/>
            </w:pPr>
            <w:r>
              <w:rPr>
                <w:rFonts w:ascii="Arial" w:hAnsi="Arial"/>
                <w:sz w:val="17"/>
              </w:rPr>
            </w:r>
            <w:r>
              <w:rPr>
                <w:rFonts w:ascii="Arial" w:hAnsi="Arial"/>
                <w:b/>
                <w:color w:val="FFFFFF"/>
                <w:sz w:val="17"/>
              </w:rPr>
              <w:t>Core Duties</w:t>
            </w:r>
          </w:p>
        </w:tc>
        <w:tc>
          <w:tcPr>
            <w:tcW w:type="dxa" w:w="3360"/>
            <w:vAlign w:val="center"/>
            <w:shd w:fill="1F4E5F"/>
          </w:tcPr>
          <w:p>
            <w:pPr>
              <w:spacing w:after="40"/>
            </w:pPr>
            <w:r>
              <w:rPr>
                <w:rFonts w:ascii="Arial" w:hAnsi="Arial"/>
                <w:sz w:val="17"/>
              </w:rPr>
            </w:r>
            <w:r>
              <w:rPr>
                <w:rFonts w:ascii="Arial" w:hAnsi="Arial"/>
                <w:b/>
                <w:color w:val="FFFFFF"/>
                <w:sz w:val="17"/>
              </w:rPr>
              <w:t>Required Training / Records</w:t>
            </w:r>
          </w:p>
        </w:tc>
      </w:tr>
      <w:tr>
        <w:tc>
          <w:tcPr>
            <w:tcW w:type="dxa" w:w="3360"/>
            <w:vAlign w:val="center"/>
          </w:tcPr>
          <w:p>
            <w:pPr>
              <w:spacing w:after="40"/>
            </w:pPr>
            <w:r>
              <w:rPr>
                <w:rFonts w:ascii="Arial" w:hAnsi="Arial"/>
                <w:sz w:val="17"/>
              </w:rPr>
            </w:r>
            <w:r>
              <w:rPr>
                <w:rFonts w:ascii="Arial" w:hAnsi="Arial"/>
                <w:b w:val="0"/>
                <w:sz w:val="17"/>
              </w:rPr>
              <w:t>Owner / Operations Director</w:t>
            </w:r>
          </w:p>
        </w:tc>
        <w:tc>
          <w:tcPr>
            <w:tcW w:type="dxa" w:w="3360"/>
            <w:vAlign w:val="center"/>
          </w:tcPr>
          <w:p>
            <w:pPr>
              <w:spacing w:after="40"/>
            </w:pPr>
            <w:r>
              <w:rPr>
                <w:rFonts w:ascii="Arial" w:hAnsi="Arial"/>
                <w:sz w:val="17"/>
              </w:rPr>
            </w:r>
            <w:r>
              <w:rPr>
                <w:rFonts w:ascii="Arial" w:hAnsi="Arial"/>
                <w:b w:val="0"/>
                <w:sz w:val="17"/>
              </w:rPr>
              <w:t>Policy approval, budget, compliance oversight, insurance, vendor agreements, capital planning.</w:t>
            </w:r>
          </w:p>
        </w:tc>
        <w:tc>
          <w:tcPr>
            <w:tcW w:type="dxa" w:w="3360"/>
            <w:vAlign w:val="center"/>
          </w:tcPr>
          <w:p>
            <w:pPr>
              <w:spacing w:after="40"/>
            </w:pPr>
            <w:r>
              <w:rPr>
                <w:rFonts w:ascii="Arial" w:hAnsi="Arial"/>
                <w:sz w:val="17"/>
              </w:rPr>
            </w:r>
            <w:r>
              <w:rPr>
                <w:rFonts w:ascii="Arial" w:hAnsi="Arial"/>
                <w:b w:val="0"/>
                <w:sz w:val="17"/>
              </w:rPr>
              <w:t>Compliance orientation, emergency authority matrix.</w:t>
            </w:r>
          </w:p>
        </w:tc>
      </w:tr>
      <w:tr>
        <w:tc>
          <w:tcPr>
            <w:tcW w:type="dxa" w:w="3360"/>
            <w:vAlign w:val="center"/>
          </w:tcPr>
          <w:p>
            <w:pPr>
              <w:spacing w:after="40"/>
            </w:pPr>
            <w:r>
              <w:rPr>
                <w:rFonts w:ascii="Arial" w:hAnsi="Arial"/>
                <w:sz w:val="17"/>
              </w:rPr>
            </w:r>
            <w:r>
              <w:rPr>
                <w:rFonts w:ascii="Arial" w:hAnsi="Arial"/>
                <w:b w:val="0"/>
                <w:sz w:val="17"/>
              </w:rPr>
              <w:t>Kitchen Manager / Person in Charge</w:t>
            </w:r>
          </w:p>
        </w:tc>
        <w:tc>
          <w:tcPr>
            <w:tcW w:type="dxa" w:w="3360"/>
            <w:vAlign w:val="center"/>
          </w:tcPr>
          <w:p>
            <w:pPr>
              <w:spacing w:after="40"/>
            </w:pPr>
            <w:r>
              <w:rPr>
                <w:rFonts w:ascii="Arial" w:hAnsi="Arial"/>
                <w:sz w:val="17"/>
              </w:rPr>
            </w:r>
            <w:r>
              <w:rPr>
                <w:rFonts w:ascii="Arial" w:hAnsi="Arial"/>
                <w:b w:val="0"/>
                <w:sz w:val="17"/>
              </w:rPr>
              <w:t>Daily food safety, logs, staff direction, corrective action, inspection readiness.</w:t>
            </w:r>
          </w:p>
        </w:tc>
        <w:tc>
          <w:tcPr>
            <w:tcW w:type="dxa" w:w="3360"/>
            <w:vAlign w:val="center"/>
          </w:tcPr>
          <w:p>
            <w:pPr>
              <w:spacing w:after="40"/>
            </w:pPr>
            <w:r>
              <w:rPr>
                <w:rFonts w:ascii="Arial" w:hAnsi="Arial"/>
                <w:sz w:val="17"/>
              </w:rPr>
            </w:r>
            <w:r>
              <w:rPr>
                <w:rFonts w:ascii="Arial" w:hAnsi="Arial"/>
                <w:b w:val="0"/>
                <w:sz w:val="17"/>
              </w:rPr>
              <w:t>CFPM where required, food code orientation, HACCP-style controls.</w:t>
            </w:r>
          </w:p>
        </w:tc>
      </w:tr>
      <w:tr>
        <w:tc>
          <w:tcPr>
            <w:tcW w:type="dxa" w:w="3360"/>
            <w:vAlign w:val="center"/>
          </w:tcPr>
          <w:p>
            <w:pPr>
              <w:spacing w:after="40"/>
            </w:pPr>
            <w:r>
              <w:rPr>
                <w:rFonts w:ascii="Arial" w:hAnsi="Arial"/>
                <w:sz w:val="17"/>
              </w:rPr>
            </w:r>
            <w:r>
              <w:rPr>
                <w:rFonts w:ascii="Arial" w:hAnsi="Arial"/>
                <w:b w:val="0"/>
                <w:sz w:val="17"/>
              </w:rPr>
              <w:t>Receiver</w:t>
            </w:r>
          </w:p>
        </w:tc>
        <w:tc>
          <w:tcPr>
            <w:tcW w:type="dxa" w:w="3360"/>
            <w:vAlign w:val="center"/>
          </w:tcPr>
          <w:p>
            <w:pPr>
              <w:spacing w:after="40"/>
            </w:pPr>
            <w:r>
              <w:rPr>
                <w:rFonts w:ascii="Arial" w:hAnsi="Arial"/>
                <w:sz w:val="17"/>
              </w:rPr>
            </w:r>
            <w:r>
              <w:rPr>
                <w:rFonts w:ascii="Arial" w:hAnsi="Arial"/>
                <w:b w:val="0"/>
                <w:sz w:val="17"/>
              </w:rPr>
              <w:t>Delivery checks, logs, rejection decisions, storage routing.</w:t>
            </w:r>
          </w:p>
        </w:tc>
        <w:tc>
          <w:tcPr>
            <w:tcW w:type="dxa" w:w="3360"/>
            <w:vAlign w:val="center"/>
          </w:tcPr>
          <w:p>
            <w:pPr>
              <w:spacing w:after="40"/>
            </w:pPr>
            <w:r>
              <w:rPr>
                <w:rFonts w:ascii="Arial" w:hAnsi="Arial"/>
                <w:sz w:val="17"/>
              </w:rPr>
            </w:r>
            <w:r>
              <w:rPr>
                <w:rFonts w:ascii="Arial" w:hAnsi="Arial"/>
                <w:b w:val="0"/>
                <w:sz w:val="17"/>
              </w:rPr>
              <w:t>Receiving SOP, thermometer use, approved supplier list.</w:t>
            </w:r>
          </w:p>
        </w:tc>
      </w:tr>
      <w:tr>
        <w:tc>
          <w:tcPr>
            <w:tcW w:type="dxa" w:w="3360"/>
            <w:vAlign w:val="center"/>
          </w:tcPr>
          <w:p>
            <w:pPr>
              <w:spacing w:after="40"/>
            </w:pPr>
            <w:r>
              <w:rPr>
                <w:rFonts w:ascii="Arial" w:hAnsi="Arial"/>
                <w:sz w:val="17"/>
              </w:rPr>
            </w:r>
            <w:r>
              <w:rPr>
                <w:rFonts w:ascii="Arial" w:hAnsi="Arial"/>
                <w:b w:val="0"/>
                <w:sz w:val="17"/>
              </w:rPr>
              <w:t>Prep Lead</w:t>
            </w:r>
          </w:p>
        </w:tc>
        <w:tc>
          <w:tcPr>
            <w:tcW w:type="dxa" w:w="3360"/>
            <w:vAlign w:val="center"/>
          </w:tcPr>
          <w:p>
            <w:pPr>
              <w:spacing w:after="40"/>
            </w:pPr>
            <w:r>
              <w:rPr>
                <w:rFonts w:ascii="Arial" w:hAnsi="Arial"/>
                <w:sz w:val="17"/>
              </w:rPr>
            </w:r>
            <w:r>
              <w:rPr>
                <w:rFonts w:ascii="Arial" w:hAnsi="Arial"/>
                <w:b w:val="0"/>
                <w:sz w:val="17"/>
              </w:rPr>
              <w:t>Prep schedule, recipes, labels, waste, allergen controls.</w:t>
            </w:r>
          </w:p>
        </w:tc>
        <w:tc>
          <w:tcPr>
            <w:tcW w:type="dxa" w:w="3360"/>
            <w:vAlign w:val="center"/>
          </w:tcPr>
          <w:p>
            <w:pPr>
              <w:spacing w:after="40"/>
            </w:pPr>
            <w:r>
              <w:rPr>
                <w:rFonts w:ascii="Arial" w:hAnsi="Arial"/>
                <w:sz w:val="17"/>
              </w:rPr>
            </w:r>
            <w:r>
              <w:rPr>
                <w:rFonts w:ascii="Arial" w:hAnsi="Arial"/>
                <w:b w:val="0"/>
                <w:sz w:val="17"/>
              </w:rPr>
              <w:t>Recipe/batch training, sanitation, allergen awareness.</w:t>
            </w:r>
          </w:p>
        </w:tc>
      </w:tr>
      <w:tr>
        <w:tc>
          <w:tcPr>
            <w:tcW w:type="dxa" w:w="3360"/>
            <w:vAlign w:val="center"/>
          </w:tcPr>
          <w:p>
            <w:pPr>
              <w:spacing w:after="40"/>
            </w:pPr>
            <w:r>
              <w:rPr>
                <w:rFonts w:ascii="Arial" w:hAnsi="Arial"/>
                <w:sz w:val="17"/>
              </w:rPr>
            </w:r>
            <w:r>
              <w:rPr>
                <w:rFonts w:ascii="Arial" w:hAnsi="Arial"/>
                <w:b w:val="0"/>
                <w:sz w:val="17"/>
              </w:rPr>
              <w:t>Line / Production Lead</w:t>
            </w:r>
          </w:p>
        </w:tc>
        <w:tc>
          <w:tcPr>
            <w:tcW w:type="dxa" w:w="3360"/>
            <w:vAlign w:val="center"/>
          </w:tcPr>
          <w:p>
            <w:pPr>
              <w:spacing w:after="40"/>
            </w:pPr>
            <w:r>
              <w:rPr>
                <w:rFonts w:ascii="Arial" w:hAnsi="Arial"/>
                <w:sz w:val="17"/>
              </w:rPr>
            </w:r>
            <w:r>
              <w:rPr>
                <w:rFonts w:ascii="Arial" w:hAnsi="Arial"/>
                <w:b w:val="0"/>
                <w:sz w:val="17"/>
              </w:rPr>
              <w:t>Cooking, holding, station execution, quality and timing.</w:t>
            </w:r>
          </w:p>
        </w:tc>
        <w:tc>
          <w:tcPr>
            <w:tcW w:type="dxa" w:w="3360"/>
            <w:vAlign w:val="center"/>
          </w:tcPr>
          <w:p>
            <w:pPr>
              <w:spacing w:after="40"/>
            </w:pPr>
            <w:r>
              <w:rPr>
                <w:rFonts w:ascii="Arial" w:hAnsi="Arial"/>
                <w:sz w:val="17"/>
              </w:rPr>
            </w:r>
            <w:r>
              <w:rPr>
                <w:rFonts w:ascii="Arial" w:hAnsi="Arial"/>
                <w:b w:val="0"/>
                <w:sz w:val="17"/>
              </w:rPr>
              <w:t>Station certification, cooking/holding standards.</w:t>
            </w:r>
          </w:p>
        </w:tc>
      </w:tr>
      <w:tr>
        <w:tc>
          <w:tcPr>
            <w:tcW w:type="dxa" w:w="3360"/>
            <w:vAlign w:val="center"/>
          </w:tcPr>
          <w:p>
            <w:pPr>
              <w:spacing w:after="40"/>
            </w:pPr>
            <w:r>
              <w:rPr>
                <w:rFonts w:ascii="Arial" w:hAnsi="Arial"/>
                <w:sz w:val="17"/>
              </w:rPr>
            </w:r>
            <w:r>
              <w:rPr>
                <w:rFonts w:ascii="Arial" w:hAnsi="Arial"/>
                <w:b w:val="0"/>
                <w:sz w:val="17"/>
              </w:rPr>
              <w:t>Dish / Steward</w:t>
            </w:r>
          </w:p>
        </w:tc>
        <w:tc>
          <w:tcPr>
            <w:tcW w:type="dxa" w:w="3360"/>
            <w:vAlign w:val="center"/>
          </w:tcPr>
          <w:p>
            <w:pPr>
              <w:spacing w:after="40"/>
            </w:pPr>
            <w:r>
              <w:rPr>
                <w:rFonts w:ascii="Arial" w:hAnsi="Arial"/>
                <w:sz w:val="17"/>
              </w:rPr>
            </w:r>
            <w:r>
              <w:rPr>
                <w:rFonts w:ascii="Arial" w:hAnsi="Arial"/>
                <w:b w:val="0"/>
                <w:sz w:val="17"/>
              </w:rPr>
              <w:t>Warewashing, chemicals, trash, floors, clean equipment storage.</w:t>
            </w:r>
          </w:p>
        </w:tc>
        <w:tc>
          <w:tcPr>
            <w:tcW w:type="dxa" w:w="3360"/>
            <w:vAlign w:val="center"/>
          </w:tcPr>
          <w:p>
            <w:pPr>
              <w:spacing w:after="40"/>
            </w:pPr>
            <w:r>
              <w:rPr>
                <w:rFonts w:ascii="Arial" w:hAnsi="Arial"/>
                <w:sz w:val="17"/>
              </w:rPr>
            </w:r>
            <w:r>
              <w:rPr>
                <w:rFonts w:ascii="Arial" w:hAnsi="Arial"/>
                <w:b w:val="0"/>
                <w:sz w:val="17"/>
              </w:rPr>
              <w:t>Chemical safety, PPE, dish procedure.</w:t>
            </w:r>
          </w:p>
        </w:tc>
      </w:tr>
      <w:tr>
        <w:tc>
          <w:tcPr>
            <w:tcW w:type="dxa" w:w="3360"/>
            <w:vAlign w:val="center"/>
          </w:tcPr>
          <w:p>
            <w:pPr>
              <w:spacing w:after="40"/>
            </w:pPr>
            <w:r>
              <w:rPr>
                <w:rFonts w:ascii="Arial" w:hAnsi="Arial"/>
                <w:sz w:val="17"/>
              </w:rPr>
            </w:r>
            <w:r>
              <w:rPr>
                <w:rFonts w:ascii="Arial" w:hAnsi="Arial"/>
                <w:b w:val="0"/>
                <w:sz w:val="17"/>
              </w:rPr>
              <w:t>Vendor Operator</w:t>
            </w:r>
          </w:p>
        </w:tc>
        <w:tc>
          <w:tcPr>
            <w:tcW w:type="dxa" w:w="3360"/>
            <w:vAlign w:val="center"/>
          </w:tcPr>
          <w:p>
            <w:pPr>
              <w:spacing w:after="40"/>
            </w:pPr>
            <w:r>
              <w:rPr>
                <w:rFonts w:ascii="Arial" w:hAnsi="Arial"/>
                <w:sz w:val="17"/>
              </w:rPr>
            </w:r>
            <w:r>
              <w:rPr>
                <w:rFonts w:ascii="Arial" w:hAnsi="Arial"/>
                <w:b w:val="0"/>
                <w:sz w:val="17"/>
              </w:rPr>
              <w:t>Own permit/training obligations as assigned, clean station use, reporting, storage, product safety.</w:t>
            </w:r>
          </w:p>
        </w:tc>
        <w:tc>
          <w:tcPr>
            <w:tcW w:type="dxa" w:w="3360"/>
            <w:vAlign w:val="center"/>
          </w:tcPr>
          <w:p>
            <w:pPr>
              <w:spacing w:after="40"/>
            </w:pPr>
            <w:r>
              <w:rPr>
                <w:rFonts w:ascii="Arial" w:hAnsi="Arial"/>
                <w:sz w:val="17"/>
              </w:rPr>
            </w:r>
            <w:r>
              <w:rPr>
                <w:rFonts w:ascii="Arial" w:hAnsi="Arial"/>
                <w:b w:val="0"/>
                <w:sz w:val="17"/>
              </w:rPr>
              <w:t>Vendor onboarding, house rules, food safety records.</w:t>
            </w:r>
          </w:p>
        </w:tc>
      </w:tr>
    </w:tbl>
    <w:p/>
    <w:p>
      <w:pPr>
        <w:pStyle w:val="Heading2"/>
      </w:pPr>
      <w:r>
        <w:t>7.1 Training Sequence</w:t>
      </w:r>
    </w:p>
    <w:p>
      <w:pPr>
        <w:pStyle w:val="ListNumber"/>
      </w:pPr>
      <w:r>
        <w:t>Orientation: manual review, emergency contacts, facility tour, handwashing, illness reporting, and house rules.</w:t>
      </w:r>
    </w:p>
    <w:p>
      <w:pPr>
        <w:pStyle w:val="ListNumber"/>
      </w:pPr>
      <w:r>
        <w:t>Food safety basics: temperature control, contamination prevention, allergen awareness, cleaning/sanitizing, logs.</w:t>
      </w:r>
    </w:p>
    <w:p>
      <w:pPr>
        <w:pStyle w:val="ListNumber"/>
      </w:pPr>
      <w:r>
        <w:t>Station certification: equipment use, recipe standards, setup, breakdown, quality checks, corrective actions.</w:t>
      </w:r>
    </w:p>
    <w:p>
      <w:pPr>
        <w:pStyle w:val="ListNumber"/>
      </w:pPr>
      <w:r>
        <w:t>Shadow shift: trainee works under approved lead and completes checklist.</w:t>
      </w:r>
    </w:p>
    <w:p>
      <w:pPr>
        <w:pStyle w:val="ListNumber"/>
      </w:pPr>
      <w:r>
        <w:t>Signoff: manager confirms trainee can perform independently and records completion.</w:t>
      </w:r>
    </w:p>
    <w:p>
      <w:pPr>
        <w:pStyle w:val="ListNumber"/>
      </w:pPr>
      <w:r>
        <w:t>Retraining: triggered by incident, inspection finding, repeated log errors, menu change, new equipment, or policy change.</w:t>
      </w:r>
    </w:p>
    <w:p>
      <w:pPr>
        <w:pStyle w:val="Heading1"/>
      </w:pPr>
      <w:r>
        <w:t>8. Quality Control and Service Standards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Quality System</w:t>
            </w:r>
          </w:p>
        </w:tc>
        <w:tc>
          <w:tcPr>
            <w:tcW w:type="dxa" w:w="3360"/>
            <w:vAlign w:val="center"/>
            <w:shd w:fill="1F4E5F"/>
          </w:tcPr>
          <w:p>
            <w:pPr>
              <w:spacing w:after="40"/>
            </w:pPr>
            <w:r>
              <w:rPr>
                <w:rFonts w:ascii="Arial" w:hAnsi="Arial"/>
                <w:sz w:val="17"/>
              </w:rPr>
            </w:r>
            <w:r>
              <w:rPr>
                <w:rFonts w:ascii="Arial" w:hAnsi="Arial"/>
                <w:b/>
                <w:color w:val="FFFFFF"/>
                <w:sz w:val="17"/>
              </w:rPr>
              <w:t>Required Content</w:t>
            </w:r>
          </w:p>
        </w:tc>
        <w:tc>
          <w:tcPr>
            <w:tcW w:type="dxa" w:w="3360"/>
            <w:vAlign w:val="center"/>
            <w:shd w:fill="1F4E5F"/>
          </w:tcPr>
          <w:p>
            <w:pPr>
              <w:spacing w:after="40"/>
            </w:pPr>
            <w:r>
              <w:rPr>
                <w:rFonts w:ascii="Arial" w:hAnsi="Arial"/>
                <w:sz w:val="17"/>
              </w:rPr>
            </w:r>
            <w:r>
              <w:rPr>
                <w:rFonts w:ascii="Arial" w:hAnsi="Arial"/>
                <w:b/>
                <w:color w:val="FFFFFF"/>
                <w:sz w:val="17"/>
              </w:rPr>
              <w:t>Owner</w:t>
            </w:r>
          </w:p>
        </w:tc>
      </w:tr>
      <w:tr>
        <w:tc>
          <w:tcPr>
            <w:tcW w:type="dxa" w:w="3360"/>
            <w:vAlign w:val="center"/>
          </w:tcPr>
          <w:p>
            <w:pPr>
              <w:spacing w:after="40"/>
            </w:pPr>
            <w:r>
              <w:rPr>
                <w:rFonts w:ascii="Arial" w:hAnsi="Arial"/>
                <w:sz w:val="17"/>
              </w:rPr>
            </w:r>
            <w:r>
              <w:rPr>
                <w:rFonts w:ascii="Arial" w:hAnsi="Arial"/>
                <w:b w:val="0"/>
                <w:sz w:val="17"/>
              </w:rPr>
              <w:t>Recipe card</w:t>
            </w:r>
          </w:p>
        </w:tc>
        <w:tc>
          <w:tcPr>
            <w:tcW w:type="dxa" w:w="3360"/>
            <w:vAlign w:val="center"/>
          </w:tcPr>
          <w:p>
            <w:pPr>
              <w:spacing w:after="40"/>
            </w:pPr>
            <w:r>
              <w:rPr>
                <w:rFonts w:ascii="Arial" w:hAnsi="Arial"/>
                <w:sz w:val="17"/>
              </w:rPr>
            </w:r>
            <w:r>
              <w:rPr>
                <w:rFonts w:ascii="Arial" w:hAnsi="Arial"/>
                <w:b w:val="0"/>
                <w:sz w:val="17"/>
              </w:rPr>
              <w:t>Ingredients, yield, portions, method, tools, allergens, holding, plating/package photo.</w:t>
            </w:r>
          </w:p>
        </w:tc>
        <w:tc>
          <w:tcPr>
            <w:tcW w:type="dxa" w:w="3360"/>
            <w:vAlign w:val="center"/>
          </w:tcPr>
          <w:p>
            <w:pPr>
              <w:spacing w:after="40"/>
            </w:pPr>
            <w:r>
              <w:rPr>
                <w:rFonts w:ascii="Arial" w:hAnsi="Arial"/>
                <w:sz w:val="17"/>
              </w:rPr>
            </w:r>
            <w:r>
              <w:rPr>
                <w:rFonts w:ascii="Arial" w:hAnsi="Arial"/>
                <w:b w:val="0"/>
                <w:sz w:val="17"/>
              </w:rPr>
              <w:t>Chef / Kitchen Manager</w:t>
            </w:r>
          </w:p>
        </w:tc>
      </w:tr>
      <w:tr>
        <w:tc>
          <w:tcPr>
            <w:tcW w:type="dxa" w:w="3360"/>
            <w:vAlign w:val="center"/>
          </w:tcPr>
          <w:p>
            <w:pPr>
              <w:spacing w:after="40"/>
            </w:pPr>
            <w:r>
              <w:rPr>
                <w:rFonts w:ascii="Arial" w:hAnsi="Arial"/>
                <w:sz w:val="17"/>
              </w:rPr>
            </w:r>
            <w:r>
              <w:rPr>
                <w:rFonts w:ascii="Arial" w:hAnsi="Arial"/>
                <w:b w:val="0"/>
                <w:sz w:val="17"/>
              </w:rPr>
              <w:t>Batch sheet</w:t>
            </w:r>
          </w:p>
        </w:tc>
        <w:tc>
          <w:tcPr>
            <w:tcW w:type="dxa" w:w="3360"/>
            <w:vAlign w:val="center"/>
          </w:tcPr>
          <w:p>
            <w:pPr>
              <w:spacing w:after="40"/>
            </w:pPr>
            <w:r>
              <w:rPr>
                <w:rFonts w:ascii="Arial" w:hAnsi="Arial"/>
                <w:sz w:val="17"/>
              </w:rPr>
            </w:r>
            <w:r>
              <w:rPr>
                <w:rFonts w:ascii="Arial" w:hAnsi="Arial"/>
                <w:b w:val="0"/>
                <w:sz w:val="17"/>
              </w:rPr>
              <w:t>Batch size, date/time, preparer, lot/source, yield, waste, corrective note.</w:t>
            </w:r>
          </w:p>
        </w:tc>
        <w:tc>
          <w:tcPr>
            <w:tcW w:type="dxa" w:w="3360"/>
            <w:vAlign w:val="center"/>
          </w:tcPr>
          <w:p>
            <w:pPr>
              <w:spacing w:after="40"/>
            </w:pPr>
            <w:r>
              <w:rPr>
                <w:rFonts w:ascii="Arial" w:hAnsi="Arial"/>
                <w:sz w:val="17"/>
              </w:rPr>
            </w:r>
            <w:r>
              <w:rPr>
                <w:rFonts w:ascii="Arial" w:hAnsi="Arial"/>
                <w:b w:val="0"/>
                <w:sz w:val="17"/>
              </w:rPr>
              <w:t>Prep Lead</w:t>
            </w:r>
          </w:p>
        </w:tc>
      </w:tr>
      <w:tr>
        <w:tc>
          <w:tcPr>
            <w:tcW w:type="dxa" w:w="3360"/>
            <w:vAlign w:val="center"/>
          </w:tcPr>
          <w:p>
            <w:pPr>
              <w:spacing w:after="40"/>
            </w:pPr>
            <w:r>
              <w:rPr>
                <w:rFonts w:ascii="Arial" w:hAnsi="Arial"/>
                <w:sz w:val="17"/>
              </w:rPr>
            </w:r>
            <w:r>
              <w:rPr>
                <w:rFonts w:ascii="Arial" w:hAnsi="Arial"/>
                <w:b w:val="0"/>
                <w:sz w:val="17"/>
              </w:rPr>
              <w:t>Station readiness check</w:t>
            </w:r>
          </w:p>
        </w:tc>
        <w:tc>
          <w:tcPr>
            <w:tcW w:type="dxa" w:w="3360"/>
            <w:vAlign w:val="center"/>
          </w:tcPr>
          <w:p>
            <w:pPr>
              <w:spacing w:after="40"/>
            </w:pPr>
            <w:r>
              <w:rPr>
                <w:rFonts w:ascii="Arial" w:hAnsi="Arial"/>
                <w:sz w:val="17"/>
              </w:rPr>
            </w:r>
            <w:r>
              <w:rPr>
                <w:rFonts w:ascii="Arial" w:hAnsi="Arial"/>
                <w:b w:val="0"/>
                <w:sz w:val="17"/>
              </w:rPr>
              <w:t>Menu availability, backups, tools, labels, temperatures, garnish, packaging.</w:t>
            </w:r>
          </w:p>
        </w:tc>
        <w:tc>
          <w:tcPr>
            <w:tcW w:type="dxa" w:w="3360"/>
            <w:vAlign w:val="center"/>
          </w:tcPr>
          <w:p>
            <w:pPr>
              <w:spacing w:after="40"/>
            </w:pPr>
            <w:r>
              <w:rPr>
                <w:rFonts w:ascii="Arial" w:hAnsi="Arial"/>
                <w:sz w:val="17"/>
              </w:rPr>
            </w:r>
            <w:r>
              <w:rPr>
                <w:rFonts w:ascii="Arial" w:hAnsi="Arial"/>
                <w:b w:val="0"/>
                <w:sz w:val="17"/>
              </w:rPr>
              <w:t>Line Lead</w:t>
            </w:r>
          </w:p>
        </w:tc>
      </w:tr>
      <w:tr>
        <w:tc>
          <w:tcPr>
            <w:tcW w:type="dxa" w:w="3360"/>
            <w:vAlign w:val="center"/>
          </w:tcPr>
          <w:p>
            <w:pPr>
              <w:spacing w:after="40"/>
            </w:pPr>
            <w:r>
              <w:rPr>
                <w:rFonts w:ascii="Arial" w:hAnsi="Arial"/>
                <w:sz w:val="17"/>
              </w:rPr>
            </w:r>
            <w:r>
              <w:rPr>
                <w:rFonts w:ascii="Arial" w:hAnsi="Arial"/>
                <w:b w:val="0"/>
                <w:sz w:val="17"/>
              </w:rPr>
              <w:t>Manager line check</w:t>
            </w:r>
          </w:p>
        </w:tc>
        <w:tc>
          <w:tcPr>
            <w:tcW w:type="dxa" w:w="3360"/>
            <w:vAlign w:val="center"/>
          </w:tcPr>
          <w:p>
            <w:pPr>
              <w:spacing w:after="40"/>
            </w:pPr>
            <w:r>
              <w:rPr>
                <w:rFonts w:ascii="Arial" w:hAnsi="Arial"/>
                <w:sz w:val="17"/>
              </w:rPr>
            </w:r>
            <w:r>
              <w:rPr>
                <w:rFonts w:ascii="Arial" w:hAnsi="Arial"/>
                <w:b w:val="0"/>
                <w:sz w:val="17"/>
              </w:rPr>
              <w:t>Food quality, safety logs, cleanliness, staff readiness, allergen plan.</w:t>
            </w:r>
          </w:p>
        </w:tc>
        <w:tc>
          <w:tcPr>
            <w:tcW w:type="dxa" w:w="3360"/>
            <w:vAlign w:val="center"/>
          </w:tcPr>
          <w:p>
            <w:pPr>
              <w:spacing w:after="40"/>
            </w:pPr>
            <w:r>
              <w:rPr>
                <w:rFonts w:ascii="Arial" w:hAnsi="Arial"/>
                <w:sz w:val="17"/>
              </w:rPr>
            </w:r>
            <w:r>
              <w:rPr>
                <w:rFonts w:ascii="Arial" w:hAnsi="Arial"/>
                <w:b w:val="0"/>
                <w:sz w:val="17"/>
              </w:rPr>
              <w:t>Person in Charge</w:t>
            </w:r>
          </w:p>
        </w:tc>
      </w:tr>
      <w:tr>
        <w:tc>
          <w:tcPr>
            <w:tcW w:type="dxa" w:w="3360"/>
            <w:vAlign w:val="center"/>
          </w:tcPr>
          <w:p>
            <w:pPr>
              <w:spacing w:after="40"/>
            </w:pPr>
            <w:r>
              <w:rPr>
                <w:rFonts w:ascii="Arial" w:hAnsi="Arial"/>
                <w:sz w:val="17"/>
              </w:rPr>
            </w:r>
            <w:r>
              <w:rPr>
                <w:rFonts w:ascii="Arial" w:hAnsi="Arial"/>
                <w:b w:val="0"/>
                <w:sz w:val="17"/>
              </w:rPr>
              <w:t>Guest complaint loop</w:t>
            </w:r>
          </w:p>
        </w:tc>
        <w:tc>
          <w:tcPr>
            <w:tcW w:type="dxa" w:w="3360"/>
            <w:vAlign w:val="center"/>
          </w:tcPr>
          <w:p>
            <w:pPr>
              <w:spacing w:after="40"/>
            </w:pPr>
            <w:r>
              <w:rPr>
                <w:rFonts w:ascii="Arial" w:hAnsi="Arial"/>
                <w:sz w:val="17"/>
              </w:rPr>
            </w:r>
            <w:r>
              <w:rPr>
                <w:rFonts w:ascii="Arial" w:hAnsi="Arial"/>
                <w:b w:val="0"/>
                <w:sz w:val="17"/>
              </w:rPr>
              <w:t>Record issue, item, time, station, response, refund/remake, root cause.</w:t>
            </w:r>
          </w:p>
        </w:tc>
        <w:tc>
          <w:tcPr>
            <w:tcW w:type="dxa" w:w="3360"/>
            <w:vAlign w:val="center"/>
          </w:tcPr>
          <w:p>
            <w:pPr>
              <w:spacing w:after="40"/>
            </w:pPr>
            <w:r>
              <w:rPr>
                <w:rFonts w:ascii="Arial" w:hAnsi="Arial"/>
                <w:sz w:val="17"/>
              </w:rPr>
            </w:r>
            <w:r>
              <w:rPr>
                <w:rFonts w:ascii="Arial" w:hAnsi="Arial"/>
                <w:b w:val="0"/>
                <w:sz w:val="17"/>
              </w:rPr>
              <w:t>FOH/Hall Manager</w:t>
            </w:r>
          </w:p>
        </w:tc>
      </w:tr>
      <w:tr>
        <w:tc>
          <w:tcPr>
            <w:tcW w:type="dxa" w:w="3360"/>
            <w:vAlign w:val="center"/>
          </w:tcPr>
          <w:p>
            <w:pPr>
              <w:spacing w:after="40"/>
            </w:pPr>
            <w:r>
              <w:rPr>
                <w:rFonts w:ascii="Arial" w:hAnsi="Arial"/>
                <w:sz w:val="17"/>
              </w:rPr>
            </w:r>
            <w:r>
              <w:rPr>
                <w:rFonts w:ascii="Arial" w:hAnsi="Arial"/>
                <w:b w:val="0"/>
                <w:sz w:val="17"/>
              </w:rPr>
              <w:t>Corrective action record</w:t>
            </w:r>
          </w:p>
        </w:tc>
        <w:tc>
          <w:tcPr>
            <w:tcW w:type="dxa" w:w="3360"/>
            <w:vAlign w:val="center"/>
          </w:tcPr>
          <w:p>
            <w:pPr>
              <w:spacing w:after="40"/>
            </w:pPr>
            <w:r>
              <w:rPr>
                <w:rFonts w:ascii="Arial" w:hAnsi="Arial"/>
                <w:sz w:val="17"/>
              </w:rPr>
            </w:r>
            <w:r>
              <w:rPr>
                <w:rFonts w:ascii="Arial" w:hAnsi="Arial"/>
                <w:b w:val="0"/>
                <w:sz w:val="17"/>
              </w:rPr>
              <w:t>What failed, food affected, action taken, person notified, prevention step.</w:t>
            </w:r>
          </w:p>
        </w:tc>
        <w:tc>
          <w:tcPr>
            <w:tcW w:type="dxa" w:w="3360"/>
            <w:vAlign w:val="center"/>
          </w:tcPr>
          <w:p>
            <w:pPr>
              <w:spacing w:after="40"/>
            </w:pPr>
            <w:r>
              <w:rPr>
                <w:rFonts w:ascii="Arial" w:hAnsi="Arial"/>
                <w:sz w:val="17"/>
              </w:rPr>
            </w:r>
            <w:r>
              <w:rPr>
                <w:rFonts w:ascii="Arial" w:hAnsi="Arial"/>
                <w:b w:val="0"/>
                <w:sz w:val="17"/>
              </w:rPr>
              <w:t>Manager</w:t>
            </w:r>
          </w:p>
        </w:tc>
      </w:tr>
    </w:tbl>
    <w:p/>
    <w:p>
      <w:pPr>
        <w:pStyle w:val="Heading1"/>
      </w:pPr>
      <w:r>
        <w:t>9. Risk Management and Contingencies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Event</w:t>
            </w:r>
          </w:p>
        </w:tc>
        <w:tc>
          <w:tcPr>
            <w:tcW w:type="dxa" w:w="3360"/>
            <w:vAlign w:val="center"/>
            <w:shd w:fill="1F4E5F"/>
          </w:tcPr>
          <w:p>
            <w:pPr>
              <w:spacing w:after="40"/>
            </w:pPr>
            <w:r>
              <w:rPr>
                <w:rFonts w:ascii="Arial" w:hAnsi="Arial"/>
                <w:sz w:val="17"/>
              </w:rPr>
            </w:r>
            <w:r>
              <w:rPr>
                <w:rFonts w:ascii="Arial" w:hAnsi="Arial"/>
                <w:b/>
                <w:color w:val="FFFFFF"/>
                <w:sz w:val="17"/>
              </w:rPr>
              <w:t>Immediate Action</w:t>
            </w:r>
          </w:p>
        </w:tc>
        <w:tc>
          <w:tcPr>
            <w:tcW w:type="dxa" w:w="3360"/>
            <w:vAlign w:val="center"/>
            <w:shd w:fill="1F4E5F"/>
          </w:tcPr>
          <w:p>
            <w:pPr>
              <w:spacing w:after="40"/>
            </w:pPr>
            <w:r>
              <w:rPr>
                <w:rFonts w:ascii="Arial" w:hAnsi="Arial"/>
                <w:sz w:val="17"/>
              </w:rPr>
            </w:r>
            <w:r>
              <w:rPr>
                <w:rFonts w:ascii="Arial" w:hAnsi="Arial"/>
                <w:b/>
                <w:color w:val="FFFFFF"/>
                <w:sz w:val="17"/>
              </w:rPr>
              <w:t>Documentation / Follow-Up</w:t>
            </w:r>
          </w:p>
        </w:tc>
      </w:tr>
      <w:tr>
        <w:tc>
          <w:tcPr>
            <w:tcW w:type="dxa" w:w="3360"/>
            <w:vAlign w:val="center"/>
          </w:tcPr>
          <w:p>
            <w:pPr>
              <w:spacing w:after="40"/>
            </w:pPr>
            <w:r>
              <w:rPr>
                <w:rFonts w:ascii="Arial" w:hAnsi="Arial"/>
                <w:sz w:val="17"/>
              </w:rPr>
            </w:r>
            <w:r>
              <w:rPr>
                <w:rFonts w:ascii="Arial" w:hAnsi="Arial"/>
                <w:b w:val="0"/>
                <w:sz w:val="17"/>
              </w:rPr>
              <w:t>Suspected foodborne illness</w:t>
            </w:r>
          </w:p>
        </w:tc>
        <w:tc>
          <w:tcPr>
            <w:tcW w:type="dxa" w:w="3360"/>
            <w:vAlign w:val="center"/>
          </w:tcPr>
          <w:p>
            <w:pPr>
              <w:spacing w:after="40"/>
            </w:pPr>
            <w:r>
              <w:rPr>
                <w:rFonts w:ascii="Arial" w:hAnsi="Arial"/>
                <w:sz w:val="17"/>
              </w:rPr>
            </w:r>
            <w:r>
              <w:rPr>
                <w:rFonts w:ascii="Arial" w:hAnsi="Arial"/>
                <w:b w:val="0"/>
                <w:sz w:val="17"/>
              </w:rPr>
              <w:t>Notify manager, preserve records, identify food/time/staff, follow authority guidance.</w:t>
            </w:r>
          </w:p>
        </w:tc>
        <w:tc>
          <w:tcPr>
            <w:tcW w:type="dxa" w:w="3360"/>
            <w:vAlign w:val="center"/>
          </w:tcPr>
          <w:p>
            <w:pPr>
              <w:spacing w:after="40"/>
            </w:pPr>
            <w:r>
              <w:rPr>
                <w:rFonts w:ascii="Arial" w:hAnsi="Arial"/>
                <w:sz w:val="17"/>
              </w:rPr>
            </w:r>
            <w:r>
              <w:rPr>
                <w:rFonts w:ascii="Arial" w:hAnsi="Arial"/>
                <w:b w:val="0"/>
                <w:sz w:val="17"/>
              </w:rPr>
              <w:t>Incident report, menu/batch/log review, agency communication.</w:t>
            </w:r>
          </w:p>
        </w:tc>
      </w:tr>
      <w:tr>
        <w:tc>
          <w:tcPr>
            <w:tcW w:type="dxa" w:w="3360"/>
            <w:vAlign w:val="center"/>
          </w:tcPr>
          <w:p>
            <w:pPr>
              <w:spacing w:after="40"/>
            </w:pPr>
            <w:r>
              <w:rPr>
                <w:rFonts w:ascii="Arial" w:hAnsi="Arial"/>
                <w:sz w:val="17"/>
              </w:rPr>
            </w:r>
            <w:r>
              <w:rPr>
                <w:rFonts w:ascii="Arial" w:hAnsi="Arial"/>
                <w:b w:val="0"/>
                <w:sz w:val="17"/>
              </w:rPr>
              <w:t>Contamination event</w:t>
            </w:r>
          </w:p>
        </w:tc>
        <w:tc>
          <w:tcPr>
            <w:tcW w:type="dxa" w:w="3360"/>
            <w:vAlign w:val="center"/>
          </w:tcPr>
          <w:p>
            <w:pPr>
              <w:spacing w:after="40"/>
            </w:pPr>
            <w:r>
              <w:rPr>
                <w:rFonts w:ascii="Arial" w:hAnsi="Arial"/>
                <w:sz w:val="17"/>
              </w:rPr>
            </w:r>
            <w:r>
              <w:rPr>
                <w:rFonts w:ascii="Arial" w:hAnsi="Arial"/>
                <w:b w:val="0"/>
                <w:sz w:val="17"/>
              </w:rPr>
              <w:t>Stop use/sale, isolate product/equipment, clean/sanitize, decide discard with manager.</w:t>
            </w:r>
          </w:p>
        </w:tc>
        <w:tc>
          <w:tcPr>
            <w:tcW w:type="dxa" w:w="3360"/>
            <w:vAlign w:val="center"/>
          </w:tcPr>
          <w:p>
            <w:pPr>
              <w:spacing w:after="40"/>
            </w:pPr>
            <w:r>
              <w:rPr>
                <w:rFonts w:ascii="Arial" w:hAnsi="Arial"/>
                <w:sz w:val="17"/>
              </w:rPr>
            </w:r>
            <w:r>
              <w:rPr>
                <w:rFonts w:ascii="Arial" w:hAnsi="Arial"/>
                <w:b w:val="0"/>
                <w:sz w:val="17"/>
              </w:rPr>
              <w:t>Corrective action, disposal log, retraining.</w:t>
            </w:r>
          </w:p>
        </w:tc>
      </w:tr>
      <w:tr>
        <w:tc>
          <w:tcPr>
            <w:tcW w:type="dxa" w:w="3360"/>
            <w:vAlign w:val="center"/>
          </w:tcPr>
          <w:p>
            <w:pPr>
              <w:spacing w:after="40"/>
            </w:pPr>
            <w:r>
              <w:rPr>
                <w:rFonts w:ascii="Arial" w:hAnsi="Arial"/>
                <w:sz w:val="17"/>
              </w:rPr>
            </w:r>
            <w:r>
              <w:rPr>
                <w:rFonts w:ascii="Arial" w:hAnsi="Arial"/>
                <w:b w:val="0"/>
                <w:sz w:val="17"/>
              </w:rPr>
              <w:t>Injury</w:t>
            </w:r>
          </w:p>
        </w:tc>
        <w:tc>
          <w:tcPr>
            <w:tcW w:type="dxa" w:w="3360"/>
            <w:vAlign w:val="center"/>
          </w:tcPr>
          <w:p>
            <w:pPr>
              <w:spacing w:after="40"/>
            </w:pPr>
            <w:r>
              <w:rPr>
                <w:rFonts w:ascii="Arial" w:hAnsi="Arial"/>
                <w:sz w:val="17"/>
              </w:rPr>
            </w:r>
            <w:r>
              <w:rPr>
                <w:rFonts w:ascii="Arial" w:hAnsi="Arial"/>
                <w:b w:val="0"/>
                <w:sz w:val="17"/>
              </w:rPr>
              <w:t>Stop work if needed, provide first aid, secure hazard, notify manager.</w:t>
            </w:r>
          </w:p>
        </w:tc>
        <w:tc>
          <w:tcPr>
            <w:tcW w:type="dxa" w:w="3360"/>
            <w:vAlign w:val="center"/>
          </w:tcPr>
          <w:p>
            <w:pPr>
              <w:spacing w:after="40"/>
            </w:pPr>
            <w:r>
              <w:rPr>
                <w:rFonts w:ascii="Arial" w:hAnsi="Arial"/>
                <w:sz w:val="17"/>
              </w:rPr>
            </w:r>
            <w:r>
              <w:rPr>
                <w:rFonts w:ascii="Arial" w:hAnsi="Arial"/>
                <w:b w:val="0"/>
                <w:sz w:val="17"/>
              </w:rPr>
              <w:t>Incident/injury report, workers' comp process if applicable.</w:t>
            </w:r>
          </w:p>
        </w:tc>
      </w:tr>
      <w:tr>
        <w:tc>
          <w:tcPr>
            <w:tcW w:type="dxa" w:w="3360"/>
            <w:vAlign w:val="center"/>
          </w:tcPr>
          <w:p>
            <w:pPr>
              <w:spacing w:after="40"/>
            </w:pPr>
            <w:r>
              <w:rPr>
                <w:rFonts w:ascii="Arial" w:hAnsi="Arial"/>
                <w:sz w:val="17"/>
              </w:rPr>
            </w:r>
            <w:r>
              <w:rPr>
                <w:rFonts w:ascii="Arial" w:hAnsi="Arial"/>
                <w:b w:val="0"/>
                <w:sz w:val="17"/>
              </w:rPr>
              <w:t>Pest activity</w:t>
            </w:r>
          </w:p>
        </w:tc>
        <w:tc>
          <w:tcPr>
            <w:tcW w:type="dxa" w:w="3360"/>
            <w:vAlign w:val="center"/>
          </w:tcPr>
          <w:p>
            <w:pPr>
              <w:spacing w:after="40"/>
            </w:pPr>
            <w:r>
              <w:rPr>
                <w:rFonts w:ascii="Arial" w:hAnsi="Arial"/>
                <w:sz w:val="17"/>
              </w:rPr>
            </w:r>
            <w:r>
              <w:rPr>
                <w:rFonts w:ascii="Arial" w:hAnsi="Arial"/>
                <w:b w:val="0"/>
                <w:sz w:val="17"/>
              </w:rPr>
              <w:t>Protect food, clean affected area, call pest provider, seal/repair source.</w:t>
            </w:r>
          </w:p>
        </w:tc>
        <w:tc>
          <w:tcPr>
            <w:tcW w:type="dxa" w:w="3360"/>
            <w:vAlign w:val="center"/>
          </w:tcPr>
          <w:p>
            <w:pPr>
              <w:spacing w:after="40"/>
            </w:pPr>
            <w:r>
              <w:rPr>
                <w:rFonts w:ascii="Arial" w:hAnsi="Arial"/>
                <w:sz w:val="17"/>
              </w:rPr>
            </w:r>
            <w:r>
              <w:rPr>
                <w:rFonts w:ascii="Arial" w:hAnsi="Arial"/>
                <w:b w:val="0"/>
                <w:sz w:val="17"/>
              </w:rPr>
              <w:t>Pest log, corrective maintenance.</w:t>
            </w:r>
          </w:p>
        </w:tc>
      </w:tr>
      <w:tr>
        <w:tc>
          <w:tcPr>
            <w:tcW w:type="dxa" w:w="3360"/>
            <w:vAlign w:val="center"/>
          </w:tcPr>
          <w:p>
            <w:pPr>
              <w:spacing w:after="40"/>
            </w:pPr>
            <w:r>
              <w:rPr>
                <w:rFonts w:ascii="Arial" w:hAnsi="Arial"/>
                <w:sz w:val="17"/>
              </w:rPr>
            </w:r>
            <w:r>
              <w:rPr>
                <w:rFonts w:ascii="Arial" w:hAnsi="Arial"/>
                <w:b w:val="0"/>
                <w:sz w:val="17"/>
              </w:rPr>
              <w:t>Chemical spill</w:t>
            </w:r>
          </w:p>
        </w:tc>
        <w:tc>
          <w:tcPr>
            <w:tcW w:type="dxa" w:w="3360"/>
            <w:vAlign w:val="center"/>
          </w:tcPr>
          <w:p>
            <w:pPr>
              <w:spacing w:after="40"/>
            </w:pPr>
            <w:r>
              <w:rPr>
                <w:rFonts w:ascii="Arial" w:hAnsi="Arial"/>
                <w:sz w:val="17"/>
              </w:rPr>
            </w:r>
            <w:r>
              <w:rPr>
                <w:rFonts w:ascii="Arial" w:hAnsi="Arial"/>
                <w:b w:val="0"/>
                <w:sz w:val="17"/>
              </w:rPr>
              <w:t>Isolate, use SDS/PPE, prevent food contact, discard exposed food.</w:t>
            </w:r>
          </w:p>
        </w:tc>
        <w:tc>
          <w:tcPr>
            <w:tcW w:type="dxa" w:w="3360"/>
            <w:vAlign w:val="center"/>
          </w:tcPr>
          <w:p>
            <w:pPr>
              <w:spacing w:after="40"/>
            </w:pPr>
            <w:r>
              <w:rPr>
                <w:rFonts w:ascii="Arial" w:hAnsi="Arial"/>
                <w:sz w:val="17"/>
              </w:rPr>
            </w:r>
            <w:r>
              <w:rPr>
                <w:rFonts w:ascii="Arial" w:hAnsi="Arial"/>
                <w:b w:val="0"/>
                <w:sz w:val="17"/>
              </w:rPr>
              <w:t>Incident report and storage review.</w:t>
            </w:r>
          </w:p>
        </w:tc>
      </w:tr>
      <w:tr>
        <w:tc>
          <w:tcPr>
            <w:tcW w:type="dxa" w:w="3360"/>
            <w:vAlign w:val="center"/>
          </w:tcPr>
          <w:p>
            <w:pPr>
              <w:spacing w:after="40"/>
            </w:pPr>
            <w:r>
              <w:rPr>
                <w:rFonts w:ascii="Arial" w:hAnsi="Arial"/>
                <w:sz w:val="17"/>
              </w:rPr>
            </w:r>
            <w:r>
              <w:rPr>
                <w:rFonts w:ascii="Arial" w:hAnsi="Arial"/>
                <w:b w:val="0"/>
                <w:sz w:val="17"/>
              </w:rPr>
              <w:t>Fire/smoke</w:t>
            </w:r>
          </w:p>
        </w:tc>
        <w:tc>
          <w:tcPr>
            <w:tcW w:type="dxa" w:w="3360"/>
            <w:vAlign w:val="center"/>
          </w:tcPr>
          <w:p>
            <w:pPr>
              <w:spacing w:after="40"/>
            </w:pPr>
            <w:r>
              <w:rPr>
                <w:rFonts w:ascii="Arial" w:hAnsi="Arial"/>
                <w:sz w:val="17"/>
              </w:rPr>
            </w:r>
            <w:r>
              <w:rPr>
                <w:rFonts w:ascii="Arial" w:hAnsi="Arial"/>
                <w:b w:val="0"/>
                <w:sz w:val="17"/>
              </w:rPr>
              <w:t>Activate emergency plan, evacuate if needed, shut down equipment if safe.</w:t>
            </w:r>
          </w:p>
        </w:tc>
        <w:tc>
          <w:tcPr>
            <w:tcW w:type="dxa" w:w="3360"/>
            <w:vAlign w:val="center"/>
          </w:tcPr>
          <w:p>
            <w:pPr>
              <w:spacing w:after="40"/>
            </w:pPr>
            <w:r>
              <w:rPr>
                <w:rFonts w:ascii="Arial" w:hAnsi="Arial"/>
                <w:sz w:val="17"/>
              </w:rPr>
            </w:r>
            <w:r>
              <w:rPr>
                <w:rFonts w:ascii="Arial" w:hAnsi="Arial"/>
                <w:b w:val="0"/>
                <w:sz w:val="17"/>
              </w:rPr>
              <w:t>Fire report, equipment inspection, reopening approval.</w:t>
            </w:r>
          </w:p>
        </w:tc>
      </w:tr>
      <w:tr>
        <w:tc>
          <w:tcPr>
            <w:tcW w:type="dxa" w:w="3360"/>
            <w:vAlign w:val="center"/>
          </w:tcPr>
          <w:p>
            <w:pPr>
              <w:spacing w:after="40"/>
            </w:pPr>
            <w:r>
              <w:rPr>
                <w:rFonts w:ascii="Arial" w:hAnsi="Arial"/>
                <w:sz w:val="17"/>
              </w:rPr>
            </w:r>
            <w:r>
              <w:rPr>
                <w:rFonts w:ascii="Arial" w:hAnsi="Arial"/>
                <w:b w:val="0"/>
                <w:sz w:val="17"/>
              </w:rPr>
              <w:t>Staff shortage</w:t>
            </w:r>
          </w:p>
        </w:tc>
        <w:tc>
          <w:tcPr>
            <w:tcW w:type="dxa" w:w="3360"/>
            <w:vAlign w:val="center"/>
          </w:tcPr>
          <w:p>
            <w:pPr>
              <w:spacing w:after="40"/>
            </w:pPr>
            <w:r>
              <w:rPr>
                <w:rFonts w:ascii="Arial" w:hAnsi="Arial"/>
                <w:sz w:val="17"/>
              </w:rPr>
            </w:r>
            <w:r>
              <w:rPr>
                <w:rFonts w:ascii="Arial" w:hAnsi="Arial"/>
                <w:b w:val="0"/>
                <w:sz w:val="17"/>
              </w:rPr>
              <w:t>Simplify menu, reassign trained staff, reduce hours/orders if safety or quality would fail.</w:t>
            </w:r>
          </w:p>
        </w:tc>
        <w:tc>
          <w:tcPr>
            <w:tcW w:type="dxa" w:w="3360"/>
            <w:vAlign w:val="center"/>
          </w:tcPr>
          <w:p>
            <w:pPr>
              <w:spacing w:after="40"/>
            </w:pPr>
            <w:r>
              <w:rPr>
                <w:rFonts w:ascii="Arial" w:hAnsi="Arial"/>
                <w:sz w:val="17"/>
              </w:rPr>
            </w:r>
            <w:r>
              <w:rPr>
                <w:rFonts w:ascii="Arial" w:hAnsi="Arial"/>
                <w:b w:val="0"/>
                <w:sz w:val="17"/>
              </w:rPr>
              <w:t>Staffing review and cross-training plan.</w:t>
            </w:r>
          </w:p>
        </w:tc>
      </w:tr>
    </w:tbl>
    <w:p/>
    <w:p>
      <w:pPr>
        <w:pStyle w:val="Heading1"/>
      </w:pPr>
      <w:r>
        <w:t>10. SOP Forms and Checklists</w:t>
      </w:r>
    </w:p>
    <w:p>
      <w:pPr>
        <w:pStyle w:val="Heading2"/>
      </w:pPr>
      <w:r>
        <w:t>Opening Checklist</w:t>
      </w:r>
    </w:p>
    <w:p>
      <w:pPr>
        <w:pStyle w:val="ListBullet"/>
      </w:pPr>
      <w:r>
        <w:t>Security/facility walk-through</w:t>
      </w:r>
    </w:p>
    <w:p>
      <w:pPr>
        <w:pStyle w:val="ListBullet"/>
      </w:pPr>
      <w:r>
        <w:t>Refrigeration/freezer temperatures logged</w:t>
      </w:r>
    </w:p>
    <w:p>
      <w:pPr>
        <w:pStyle w:val="ListBullet"/>
      </w:pPr>
      <w:r>
        <w:t>Hand sinks stocked</w:t>
      </w:r>
    </w:p>
    <w:p>
      <w:pPr>
        <w:pStyle w:val="ListBullet"/>
      </w:pPr>
      <w:r>
        <w:t>Sanitizer mixed/tested</w:t>
      </w:r>
    </w:p>
    <w:p>
      <w:pPr>
        <w:pStyle w:val="ListBullet"/>
      </w:pPr>
      <w:r>
        <w:t>Equipment/hoods started safely</w:t>
      </w:r>
    </w:p>
    <w:p>
      <w:pPr>
        <w:pStyle w:val="ListBullet"/>
      </w:pPr>
      <w:r>
        <w:t>Prep/service plan reviewed</w:t>
      </w:r>
    </w:p>
    <w:p>
      <w:pPr>
        <w:pStyle w:val="ListBullet"/>
      </w:pPr>
      <w:r>
        <w:t>Manager assigned as PIC</w:t>
      </w:r>
    </w:p>
    <w:p>
      <w:pPr>
        <w:pStyle w:val="Heading2"/>
      </w:pPr>
      <w:r>
        <w:t>Closing Checklist</w:t>
      </w:r>
    </w:p>
    <w:p>
      <w:pPr>
        <w:pStyle w:val="ListBullet"/>
      </w:pPr>
      <w:r>
        <w:t>Food cooled/stored/discarded</w:t>
      </w:r>
    </w:p>
    <w:p>
      <w:pPr>
        <w:pStyle w:val="ListBullet"/>
      </w:pPr>
      <w:r>
        <w:t>Labels verified</w:t>
      </w:r>
    </w:p>
    <w:p>
      <w:pPr>
        <w:pStyle w:val="ListBullet"/>
      </w:pPr>
      <w:r>
        <w:t>Stations cleaned/sanitized</w:t>
      </w:r>
    </w:p>
    <w:p>
      <w:pPr>
        <w:pStyle w:val="ListBullet"/>
      </w:pPr>
      <w:r>
        <w:t>Dish area complete</w:t>
      </w:r>
    </w:p>
    <w:p>
      <w:pPr>
        <w:pStyle w:val="ListBullet"/>
      </w:pPr>
      <w:r>
        <w:t>Trash/grease/recycling removed</w:t>
      </w:r>
    </w:p>
    <w:p>
      <w:pPr>
        <w:pStyle w:val="ListBullet"/>
      </w:pPr>
      <w:r>
        <w:t>Equipment shutdown verified</w:t>
      </w:r>
    </w:p>
    <w:p>
      <w:pPr>
        <w:pStyle w:val="ListBullet"/>
      </w:pPr>
      <w:r>
        <w:t>Logs reviewed</w:t>
      </w:r>
    </w:p>
    <w:p>
      <w:pPr>
        <w:pStyle w:val="ListBullet"/>
      </w:pPr>
      <w:r>
        <w:t>Security set</w:t>
      </w:r>
    </w:p>
    <w:p>
      <w:pPr>
        <w:pStyle w:val="Heading2"/>
      </w:pPr>
      <w:r>
        <w:t>Receiving Log</w:t>
      </w:r>
    </w:p>
    <w:p>
      <w:pPr>
        <w:pStyle w:val="ListBullet"/>
      </w:pPr>
      <w:r>
        <w:t>Date/time</w:t>
      </w:r>
    </w:p>
    <w:p>
      <w:pPr>
        <w:pStyle w:val="ListBullet"/>
      </w:pPr>
      <w:r>
        <w:t>Supplier</w:t>
      </w:r>
    </w:p>
    <w:p>
      <w:pPr>
        <w:pStyle w:val="ListBullet"/>
      </w:pPr>
      <w:r>
        <w:t>Product</w:t>
      </w:r>
    </w:p>
    <w:p>
      <w:pPr>
        <w:pStyle w:val="ListBullet"/>
      </w:pPr>
      <w:r>
        <w:t>Temperature</w:t>
      </w:r>
    </w:p>
    <w:p>
      <w:pPr>
        <w:pStyle w:val="ListBullet"/>
      </w:pPr>
      <w:r>
        <w:t>Condition</w:t>
      </w:r>
    </w:p>
    <w:p>
      <w:pPr>
        <w:pStyle w:val="ListBullet"/>
      </w:pPr>
      <w:r>
        <w:t>Accepted/rejected</w:t>
      </w:r>
    </w:p>
    <w:p>
      <w:pPr>
        <w:pStyle w:val="ListBullet"/>
      </w:pPr>
      <w:r>
        <w:t>Corrective action</w:t>
      </w:r>
    </w:p>
    <w:p>
      <w:pPr>
        <w:pStyle w:val="ListBullet"/>
      </w:pPr>
      <w:r>
        <w:t>Receiver initials</w:t>
      </w:r>
    </w:p>
    <w:p>
      <w:pPr>
        <w:pStyle w:val="Heading2"/>
      </w:pPr>
      <w:r>
        <w:t>Temperature Log</w:t>
      </w:r>
    </w:p>
    <w:p>
      <w:pPr>
        <w:pStyle w:val="ListBullet"/>
      </w:pPr>
      <w:r>
        <w:t>Unit/station</w:t>
      </w:r>
    </w:p>
    <w:p>
      <w:pPr>
        <w:pStyle w:val="ListBullet"/>
      </w:pPr>
      <w:r>
        <w:t>Time</w:t>
      </w:r>
    </w:p>
    <w:p>
      <w:pPr>
        <w:pStyle w:val="ListBullet"/>
      </w:pPr>
      <w:r>
        <w:t>Temperature</w:t>
      </w:r>
    </w:p>
    <w:p>
      <w:pPr>
        <w:pStyle w:val="ListBullet"/>
      </w:pPr>
      <w:r>
        <w:t>Product if applicable</w:t>
      </w:r>
    </w:p>
    <w:p>
      <w:pPr>
        <w:pStyle w:val="ListBullet"/>
      </w:pPr>
      <w:r>
        <w:t>Corrective action</w:t>
      </w:r>
    </w:p>
    <w:p>
      <w:pPr>
        <w:pStyle w:val="ListBullet"/>
      </w:pPr>
      <w:r>
        <w:t>Initials</w:t>
      </w:r>
    </w:p>
    <w:p>
      <w:pPr>
        <w:pStyle w:val="Heading2"/>
      </w:pPr>
      <w:r>
        <w:t>Cooling Log</w:t>
      </w:r>
    </w:p>
    <w:p>
      <w:pPr>
        <w:pStyle w:val="ListBullet"/>
      </w:pPr>
      <w:r>
        <w:t>Product</w:t>
      </w:r>
    </w:p>
    <w:p>
      <w:pPr>
        <w:pStyle w:val="ListBullet"/>
      </w:pPr>
      <w:r>
        <w:t>Batch</w:t>
      </w:r>
    </w:p>
    <w:p>
      <w:pPr>
        <w:pStyle w:val="ListBullet"/>
      </w:pPr>
      <w:r>
        <w:t>Start time/temp</w:t>
      </w:r>
    </w:p>
    <w:p>
      <w:pPr>
        <w:pStyle w:val="ListBullet"/>
      </w:pPr>
      <w:r>
        <w:t>Interim checks</w:t>
      </w:r>
    </w:p>
    <w:p>
      <w:pPr>
        <w:pStyle w:val="ListBullet"/>
      </w:pPr>
      <w:r>
        <w:t>Final time/temp</w:t>
      </w:r>
    </w:p>
    <w:p>
      <w:pPr>
        <w:pStyle w:val="ListBullet"/>
      </w:pPr>
      <w:r>
        <w:t>Action if limit missed</w:t>
      </w:r>
    </w:p>
    <w:p>
      <w:pPr>
        <w:pStyle w:val="Heading2"/>
      </w:pPr>
      <w:r>
        <w:t>Sanitizer Log</w:t>
      </w:r>
    </w:p>
    <w:p>
      <w:pPr>
        <w:pStyle w:val="ListBullet"/>
      </w:pPr>
      <w:r>
        <w:t>Location</w:t>
      </w:r>
    </w:p>
    <w:p>
      <w:pPr>
        <w:pStyle w:val="ListBullet"/>
      </w:pPr>
      <w:r>
        <w:t>Chemical</w:t>
      </w:r>
    </w:p>
    <w:p>
      <w:pPr>
        <w:pStyle w:val="ListBullet"/>
      </w:pPr>
      <w:r>
        <w:t>Concentration</w:t>
      </w:r>
    </w:p>
    <w:p>
      <w:pPr>
        <w:pStyle w:val="ListBullet"/>
      </w:pPr>
      <w:r>
        <w:t>Time</w:t>
      </w:r>
    </w:p>
    <w:p>
      <w:pPr>
        <w:pStyle w:val="ListBullet"/>
      </w:pPr>
      <w:r>
        <w:t>Corrective action</w:t>
      </w:r>
    </w:p>
    <w:p>
      <w:pPr>
        <w:pStyle w:val="ListBullet"/>
      </w:pPr>
      <w:r>
        <w:t>Initials</w:t>
      </w:r>
    </w:p>
    <w:p>
      <w:pPr>
        <w:pStyle w:val="Heading2"/>
      </w:pPr>
      <w:r>
        <w:t>Cleaning Schedule</w:t>
      </w:r>
    </w:p>
    <w:p>
      <w:pPr>
        <w:pStyle w:val="ListBullet"/>
      </w:pPr>
      <w:r>
        <w:t>Area/equipment</w:t>
      </w:r>
    </w:p>
    <w:p>
      <w:pPr>
        <w:pStyle w:val="ListBullet"/>
      </w:pPr>
      <w:r>
        <w:t>Frequency</w:t>
      </w:r>
    </w:p>
    <w:p>
      <w:pPr>
        <w:pStyle w:val="ListBullet"/>
      </w:pPr>
      <w:r>
        <w:t>Chemical/tool</w:t>
      </w:r>
    </w:p>
    <w:p>
      <w:pPr>
        <w:pStyle w:val="ListBullet"/>
      </w:pPr>
      <w:r>
        <w:t>Responsible role</w:t>
      </w:r>
    </w:p>
    <w:p>
      <w:pPr>
        <w:pStyle w:val="ListBullet"/>
      </w:pPr>
      <w:r>
        <w:t>Completion initials</w:t>
      </w:r>
    </w:p>
    <w:p>
      <w:pPr>
        <w:pStyle w:val="ListBullet"/>
      </w:pPr>
      <w:r>
        <w:t>Manager verification</w:t>
      </w:r>
    </w:p>
    <w:p>
      <w:pPr>
        <w:pStyle w:val="Heading2"/>
      </w:pPr>
      <w:r>
        <w:t>Maintenance Log</w:t>
      </w:r>
    </w:p>
    <w:p>
      <w:pPr>
        <w:pStyle w:val="ListBullet"/>
      </w:pPr>
      <w:r>
        <w:t>Equipment</w:t>
      </w:r>
    </w:p>
    <w:p>
      <w:pPr>
        <w:pStyle w:val="ListBullet"/>
      </w:pPr>
      <w:r>
        <w:t>Issue</w:t>
      </w:r>
    </w:p>
    <w:p>
      <w:pPr>
        <w:pStyle w:val="ListBullet"/>
      </w:pPr>
      <w:r>
        <w:t>Date reported</w:t>
      </w:r>
    </w:p>
    <w:p>
      <w:pPr>
        <w:pStyle w:val="ListBullet"/>
      </w:pPr>
      <w:r>
        <w:t>Impact</w:t>
      </w:r>
    </w:p>
    <w:p>
      <w:pPr>
        <w:pStyle w:val="ListBullet"/>
      </w:pPr>
      <w:r>
        <w:t>Vendor called</w:t>
      </w:r>
    </w:p>
    <w:p>
      <w:pPr>
        <w:pStyle w:val="ListBullet"/>
      </w:pPr>
      <w:r>
        <w:t>Resolution</w:t>
      </w:r>
    </w:p>
    <w:p>
      <w:pPr>
        <w:pStyle w:val="ListBullet"/>
      </w:pPr>
      <w:r>
        <w:t>Return-to-service approval</w:t>
      </w:r>
    </w:p>
    <w:p>
      <w:pPr>
        <w:pStyle w:val="Heading2"/>
      </w:pPr>
      <w:r>
        <w:t>Incident Report</w:t>
      </w:r>
    </w:p>
    <w:p>
      <w:pPr>
        <w:pStyle w:val="ListBullet"/>
      </w:pPr>
      <w:r>
        <w:t>Date/time</w:t>
      </w:r>
    </w:p>
    <w:p>
      <w:pPr>
        <w:pStyle w:val="ListBullet"/>
      </w:pPr>
      <w:r>
        <w:t>Incident type</w:t>
      </w:r>
    </w:p>
    <w:p>
      <w:pPr>
        <w:pStyle w:val="ListBullet"/>
      </w:pPr>
      <w:r>
        <w:t>People/product/equipment involved</w:t>
      </w:r>
    </w:p>
    <w:p>
      <w:pPr>
        <w:pStyle w:val="ListBullet"/>
      </w:pPr>
      <w:r>
        <w:t>Immediate action</w:t>
      </w:r>
    </w:p>
    <w:p>
      <w:pPr>
        <w:pStyle w:val="ListBullet"/>
      </w:pPr>
      <w:r>
        <w:t>Manager notified</w:t>
      </w:r>
    </w:p>
    <w:p>
      <w:pPr>
        <w:pStyle w:val="ListBullet"/>
      </w:pPr>
      <w:r>
        <w:t>Follow-up</w:t>
      </w:r>
    </w:p>
    <w:p>
      <w:pPr>
        <w:pStyle w:val="Heading2"/>
      </w:pPr>
      <w:r>
        <w:t>Waste Log</w:t>
      </w:r>
    </w:p>
    <w:p>
      <w:pPr>
        <w:pStyle w:val="ListBullet"/>
      </w:pPr>
      <w:r>
        <w:t>Item</w:t>
      </w:r>
    </w:p>
    <w:p>
      <w:pPr>
        <w:pStyle w:val="ListBullet"/>
      </w:pPr>
      <w:r>
        <w:t>Quantity</w:t>
      </w:r>
    </w:p>
    <w:p>
      <w:pPr>
        <w:pStyle w:val="ListBullet"/>
      </w:pPr>
      <w:r>
        <w:t>Reason</w:t>
      </w:r>
    </w:p>
    <w:p>
      <w:pPr>
        <w:pStyle w:val="ListBullet"/>
      </w:pPr>
      <w:r>
        <w:t>Cost estimate</w:t>
      </w:r>
    </w:p>
    <w:p>
      <w:pPr>
        <w:pStyle w:val="ListBullet"/>
      </w:pPr>
      <w:r>
        <w:t>Station/operator</w:t>
      </w:r>
    </w:p>
    <w:p>
      <w:pPr>
        <w:pStyle w:val="ListBullet"/>
      </w:pPr>
      <w:r>
        <w:t>Prevention note</w:t>
      </w:r>
    </w:p>
    <w:p>
      <w:pPr>
        <w:pStyle w:val="Heading2"/>
      </w:pPr>
      <w:r>
        <w:t>Training Signoff</w:t>
      </w:r>
    </w:p>
    <w:p>
      <w:pPr>
        <w:pStyle w:val="ListBullet"/>
      </w:pPr>
      <w:r>
        <w:t>Employee/operator</w:t>
      </w:r>
    </w:p>
    <w:p>
      <w:pPr>
        <w:pStyle w:val="ListBullet"/>
      </w:pPr>
      <w:r>
        <w:t>Training module</w:t>
      </w:r>
    </w:p>
    <w:p>
      <w:pPr>
        <w:pStyle w:val="ListBullet"/>
      </w:pPr>
      <w:r>
        <w:t>Trainer</w:t>
      </w:r>
    </w:p>
    <w:p>
      <w:pPr>
        <w:pStyle w:val="ListBullet"/>
      </w:pPr>
      <w:r>
        <w:t>Date</w:t>
      </w:r>
    </w:p>
    <w:p>
      <w:pPr>
        <w:pStyle w:val="ListBullet"/>
      </w:pPr>
      <w:r>
        <w:t>Observed competency</w:t>
      </w:r>
    </w:p>
    <w:p>
      <w:pPr>
        <w:pStyle w:val="ListBullet"/>
      </w:pPr>
      <w:r>
        <w:t>Retraining due date</w:t>
      </w:r>
    </w:p>
    <w:p>
      <w:pPr>
        <w:pStyle w:val="Heading2"/>
      </w:pPr>
      <w:r>
        <w:t>Station Readiness Checklist</w:t>
      </w:r>
    </w:p>
    <w:p>
      <w:pPr>
        <w:pStyle w:val="ListBullet"/>
      </w:pPr>
      <w:r>
        <w:t>Clean station</w:t>
      </w:r>
    </w:p>
    <w:p>
      <w:pPr>
        <w:pStyle w:val="ListBullet"/>
      </w:pPr>
      <w:r>
        <w:t>Recipes/tools ready</w:t>
      </w:r>
    </w:p>
    <w:p>
      <w:pPr>
        <w:pStyle w:val="ListBullet"/>
      </w:pPr>
      <w:r>
        <w:t>Labels complete</w:t>
      </w:r>
    </w:p>
    <w:p>
      <w:pPr>
        <w:pStyle w:val="ListBullet"/>
      </w:pPr>
      <w:r>
        <w:t>Holding equipment verified</w:t>
      </w:r>
    </w:p>
    <w:p>
      <w:pPr>
        <w:pStyle w:val="ListBullet"/>
      </w:pPr>
      <w:r>
        <w:t>Allergen plan ready</w:t>
      </w:r>
    </w:p>
    <w:p>
      <w:pPr>
        <w:pStyle w:val="ListBullet"/>
      </w:pPr>
      <w:r>
        <w:t>Backup product staged</w:t>
      </w:r>
    </w:p>
    <w:p>
      <w:pPr>
        <w:pStyle w:val="Heading2"/>
      </w:pPr>
      <w:r>
        <w:t>Shared Kitchen Member Onboarding Checklist</w:t>
      </w:r>
    </w:p>
    <w:p>
      <w:r>
        <w:t>Based on the KTSF benchmark and New Mexico compliance planning, no member or vendor should receive kitchen access until the onboarding file is complete or a manager-approved exception is documented.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Required Item</w:t>
            </w:r>
          </w:p>
        </w:tc>
        <w:tc>
          <w:tcPr>
            <w:tcW w:type="dxa" w:w="3360"/>
            <w:vAlign w:val="center"/>
            <w:shd w:fill="1F4E5F"/>
          </w:tcPr>
          <w:p>
            <w:pPr>
              <w:spacing w:after="40"/>
            </w:pPr>
            <w:r>
              <w:rPr>
                <w:rFonts w:ascii="Arial" w:hAnsi="Arial"/>
                <w:sz w:val="17"/>
              </w:rPr>
            </w:r>
            <w:r>
              <w:rPr>
                <w:rFonts w:ascii="Arial" w:hAnsi="Arial"/>
                <w:b/>
                <w:color w:val="FFFFFF"/>
                <w:sz w:val="17"/>
              </w:rPr>
              <w:t>Purpose</w:t>
            </w:r>
          </w:p>
        </w:tc>
        <w:tc>
          <w:tcPr>
            <w:tcW w:type="dxa" w:w="3360"/>
            <w:vAlign w:val="center"/>
            <w:shd w:fill="1F4E5F"/>
          </w:tcPr>
          <w:p>
            <w:pPr>
              <w:spacing w:after="40"/>
            </w:pPr>
            <w:r>
              <w:rPr>
                <w:rFonts w:ascii="Arial" w:hAnsi="Arial"/>
                <w:sz w:val="17"/>
              </w:rPr>
            </w:r>
            <w:r>
              <w:rPr>
                <w:rFonts w:ascii="Arial" w:hAnsi="Arial"/>
                <w:b/>
                <w:color w:val="FFFFFF"/>
                <w:sz w:val="17"/>
              </w:rPr>
              <w:t>Status</w:t>
            </w:r>
          </w:p>
        </w:tc>
      </w:tr>
      <w:tr>
        <w:tc>
          <w:tcPr>
            <w:tcW w:type="dxa" w:w="3360"/>
            <w:vAlign w:val="center"/>
          </w:tcPr>
          <w:p>
            <w:pPr>
              <w:spacing w:after="40"/>
            </w:pPr>
            <w:r>
              <w:rPr>
                <w:rFonts w:ascii="Arial" w:hAnsi="Arial"/>
                <w:sz w:val="17"/>
              </w:rPr>
            </w:r>
            <w:r>
              <w:rPr>
                <w:rFonts w:ascii="Arial" w:hAnsi="Arial"/>
                <w:b w:val="0"/>
                <w:sz w:val="17"/>
              </w:rPr>
              <w:t>Signed kitchen use/member agreement</w:t>
            </w:r>
          </w:p>
        </w:tc>
        <w:tc>
          <w:tcPr>
            <w:tcW w:type="dxa" w:w="3360"/>
            <w:vAlign w:val="center"/>
          </w:tcPr>
          <w:p>
            <w:pPr>
              <w:spacing w:after="40"/>
            </w:pPr>
            <w:r>
              <w:rPr>
                <w:rFonts w:ascii="Arial" w:hAnsi="Arial"/>
                <w:sz w:val="17"/>
              </w:rPr>
            </w:r>
            <w:r>
              <w:rPr>
                <w:rFonts w:ascii="Arial" w:hAnsi="Arial"/>
                <w:b w:val="0"/>
                <w:sz w:val="17"/>
              </w:rPr>
              <w:t>Defines use rights, house rules, fees, cleaning duties, termination rights, and liability boundaries.</w:t>
            </w:r>
          </w:p>
        </w:tc>
        <w:tc>
          <w:tcPr>
            <w:tcW w:type="dxa" w:w="3360"/>
            <w:vAlign w:val="center"/>
          </w:tcPr>
          <w:p>
            <w:pPr>
              <w:spacing w:after="40"/>
            </w:pPr>
            <w:r>
              <w:rPr>
                <w:rFonts w:ascii="Arial" w:hAnsi="Arial"/>
                <w:sz w:val="17"/>
              </w:rPr>
            </w:r>
            <w:r>
              <w:rPr>
                <w:rFonts w:ascii="Arial" w:hAnsi="Arial"/>
                <w:b w:val="0"/>
                <w:sz w:val="17"/>
              </w:rPr>
              <w:t>Required before access</w:t>
            </w:r>
          </w:p>
        </w:tc>
      </w:tr>
      <w:tr>
        <w:tc>
          <w:tcPr>
            <w:tcW w:type="dxa" w:w="3360"/>
            <w:vAlign w:val="center"/>
          </w:tcPr>
          <w:p>
            <w:pPr>
              <w:spacing w:after="40"/>
            </w:pPr>
            <w:r>
              <w:rPr>
                <w:rFonts w:ascii="Arial" w:hAnsi="Arial"/>
                <w:sz w:val="17"/>
              </w:rPr>
            </w:r>
            <w:r>
              <w:rPr>
                <w:rFonts w:ascii="Arial" w:hAnsi="Arial"/>
                <w:b w:val="0"/>
                <w:sz w:val="17"/>
              </w:rPr>
              <w:t>Security deposit or approved alternative</w:t>
            </w:r>
          </w:p>
        </w:tc>
        <w:tc>
          <w:tcPr>
            <w:tcW w:type="dxa" w:w="3360"/>
            <w:vAlign w:val="center"/>
          </w:tcPr>
          <w:p>
            <w:pPr>
              <w:spacing w:after="40"/>
            </w:pPr>
            <w:r>
              <w:rPr>
                <w:rFonts w:ascii="Arial" w:hAnsi="Arial"/>
                <w:sz w:val="17"/>
              </w:rPr>
            </w:r>
            <w:r>
              <w:rPr>
                <w:rFonts w:ascii="Arial" w:hAnsi="Arial"/>
                <w:b w:val="0"/>
                <w:sz w:val="17"/>
              </w:rPr>
              <w:t>Creates accountability for damage, cleaning failures, abandoned inventory, or unpaid charges.</w:t>
            </w:r>
          </w:p>
        </w:tc>
        <w:tc>
          <w:tcPr>
            <w:tcW w:type="dxa" w:w="3360"/>
            <w:vAlign w:val="center"/>
          </w:tcPr>
          <w:p>
            <w:pPr>
              <w:spacing w:after="40"/>
            </w:pPr>
            <w:r>
              <w:rPr>
                <w:rFonts w:ascii="Arial" w:hAnsi="Arial"/>
                <w:sz w:val="17"/>
              </w:rPr>
            </w:r>
            <w:r>
              <w:rPr>
                <w:rFonts w:ascii="Arial" w:hAnsi="Arial"/>
                <w:b w:val="0"/>
                <w:sz w:val="17"/>
              </w:rPr>
              <w:t>Required before access</w:t>
            </w:r>
          </w:p>
        </w:tc>
      </w:tr>
      <w:tr>
        <w:tc>
          <w:tcPr>
            <w:tcW w:type="dxa" w:w="3360"/>
            <w:vAlign w:val="center"/>
          </w:tcPr>
          <w:p>
            <w:pPr>
              <w:spacing w:after="40"/>
            </w:pPr>
            <w:r>
              <w:rPr>
                <w:rFonts w:ascii="Arial" w:hAnsi="Arial"/>
                <w:sz w:val="17"/>
              </w:rPr>
            </w:r>
            <w:r>
              <w:rPr>
                <w:rFonts w:ascii="Arial" w:hAnsi="Arial"/>
                <w:b w:val="0"/>
                <w:sz w:val="17"/>
              </w:rPr>
              <w:t>Food Manager certificate / CFPM record</w:t>
            </w:r>
          </w:p>
        </w:tc>
        <w:tc>
          <w:tcPr>
            <w:tcW w:type="dxa" w:w="3360"/>
            <w:vAlign w:val="center"/>
          </w:tcPr>
          <w:p>
            <w:pPr>
              <w:spacing w:after="40"/>
            </w:pPr>
            <w:r>
              <w:rPr>
                <w:rFonts w:ascii="Arial" w:hAnsi="Arial"/>
                <w:sz w:val="17"/>
              </w:rPr>
            </w:r>
            <w:r>
              <w:rPr>
                <w:rFonts w:ascii="Arial" w:hAnsi="Arial"/>
                <w:b w:val="0"/>
                <w:sz w:val="17"/>
              </w:rPr>
              <w:t>Documents manager-level food safety training where required or adopted as facility policy.</w:t>
            </w:r>
          </w:p>
        </w:tc>
        <w:tc>
          <w:tcPr>
            <w:tcW w:type="dxa" w:w="3360"/>
            <w:vAlign w:val="center"/>
          </w:tcPr>
          <w:p>
            <w:pPr>
              <w:spacing w:after="40"/>
            </w:pPr>
            <w:r>
              <w:rPr>
                <w:rFonts w:ascii="Arial" w:hAnsi="Arial"/>
                <w:sz w:val="17"/>
              </w:rPr>
            </w:r>
            <w:r>
              <w:rPr>
                <w:rFonts w:ascii="Arial" w:hAnsi="Arial"/>
                <w:b w:val="0"/>
                <w:sz w:val="17"/>
              </w:rPr>
              <w:t>Required before production</w:t>
            </w:r>
          </w:p>
        </w:tc>
      </w:tr>
      <w:tr>
        <w:tc>
          <w:tcPr>
            <w:tcW w:type="dxa" w:w="3360"/>
            <w:vAlign w:val="center"/>
          </w:tcPr>
          <w:p>
            <w:pPr>
              <w:spacing w:after="40"/>
            </w:pPr>
            <w:r>
              <w:rPr>
                <w:rFonts w:ascii="Arial" w:hAnsi="Arial"/>
                <w:sz w:val="17"/>
              </w:rPr>
            </w:r>
            <w:r>
              <w:rPr>
                <w:rFonts w:ascii="Arial" w:hAnsi="Arial"/>
                <w:b w:val="0"/>
                <w:sz w:val="17"/>
              </w:rPr>
              <w:t>Food handler cards/training records</w:t>
            </w:r>
          </w:p>
        </w:tc>
        <w:tc>
          <w:tcPr>
            <w:tcW w:type="dxa" w:w="3360"/>
            <w:vAlign w:val="center"/>
          </w:tcPr>
          <w:p>
            <w:pPr>
              <w:spacing w:after="40"/>
            </w:pPr>
            <w:r>
              <w:rPr>
                <w:rFonts w:ascii="Arial" w:hAnsi="Arial"/>
                <w:sz w:val="17"/>
              </w:rPr>
            </w:r>
            <w:r>
              <w:rPr>
                <w:rFonts w:ascii="Arial" w:hAnsi="Arial"/>
                <w:b w:val="0"/>
                <w:sz w:val="17"/>
              </w:rPr>
              <w:t>Documents staff/operator food safety training.</w:t>
            </w:r>
          </w:p>
        </w:tc>
        <w:tc>
          <w:tcPr>
            <w:tcW w:type="dxa" w:w="3360"/>
            <w:vAlign w:val="center"/>
          </w:tcPr>
          <w:p>
            <w:pPr>
              <w:spacing w:after="40"/>
            </w:pPr>
            <w:r>
              <w:rPr>
                <w:rFonts w:ascii="Arial" w:hAnsi="Arial"/>
                <w:sz w:val="17"/>
              </w:rPr>
            </w:r>
            <w:r>
              <w:rPr>
                <w:rFonts w:ascii="Arial" w:hAnsi="Arial"/>
                <w:b w:val="0"/>
                <w:sz w:val="17"/>
              </w:rPr>
              <w:t>Required before production</w:t>
            </w:r>
          </w:p>
        </w:tc>
      </w:tr>
      <w:tr>
        <w:tc>
          <w:tcPr>
            <w:tcW w:type="dxa" w:w="3360"/>
            <w:vAlign w:val="center"/>
          </w:tcPr>
          <w:p>
            <w:pPr>
              <w:spacing w:after="40"/>
            </w:pPr>
            <w:r>
              <w:rPr>
                <w:rFonts w:ascii="Arial" w:hAnsi="Arial"/>
                <w:sz w:val="17"/>
              </w:rPr>
            </w:r>
            <w:r>
              <w:rPr>
                <w:rFonts w:ascii="Arial" w:hAnsi="Arial"/>
                <w:b w:val="0"/>
                <w:sz w:val="17"/>
              </w:rPr>
              <w:t>New Mexico CRS/business tax registration</w:t>
            </w:r>
          </w:p>
        </w:tc>
        <w:tc>
          <w:tcPr>
            <w:tcW w:type="dxa" w:w="3360"/>
            <w:vAlign w:val="center"/>
          </w:tcPr>
          <w:p>
            <w:pPr>
              <w:spacing w:after="40"/>
            </w:pPr>
            <w:r>
              <w:rPr>
                <w:rFonts w:ascii="Arial" w:hAnsi="Arial"/>
                <w:sz w:val="17"/>
              </w:rPr>
            </w:r>
            <w:r>
              <w:rPr>
                <w:rFonts w:ascii="Arial" w:hAnsi="Arial"/>
                <w:b w:val="0"/>
                <w:sz w:val="17"/>
              </w:rPr>
              <w:t>Confirms operator is set up for New Mexico tax reporting.</w:t>
            </w:r>
          </w:p>
        </w:tc>
        <w:tc>
          <w:tcPr>
            <w:tcW w:type="dxa" w:w="3360"/>
            <w:vAlign w:val="center"/>
          </w:tcPr>
          <w:p>
            <w:pPr>
              <w:spacing w:after="40"/>
            </w:pPr>
            <w:r>
              <w:rPr>
                <w:rFonts w:ascii="Arial" w:hAnsi="Arial"/>
                <w:sz w:val="17"/>
              </w:rPr>
            </w:r>
            <w:r>
              <w:rPr>
                <w:rFonts w:ascii="Arial" w:hAnsi="Arial"/>
                <w:b w:val="0"/>
                <w:sz w:val="17"/>
              </w:rPr>
              <w:t>Required before commercial sales</w:t>
            </w:r>
          </w:p>
        </w:tc>
      </w:tr>
      <w:tr>
        <w:tc>
          <w:tcPr>
            <w:tcW w:type="dxa" w:w="3360"/>
            <w:vAlign w:val="center"/>
          </w:tcPr>
          <w:p>
            <w:pPr>
              <w:spacing w:after="40"/>
            </w:pPr>
            <w:r>
              <w:rPr>
                <w:rFonts w:ascii="Arial" w:hAnsi="Arial"/>
                <w:sz w:val="17"/>
              </w:rPr>
            </w:r>
            <w:r>
              <w:rPr>
                <w:rFonts w:ascii="Arial" w:hAnsi="Arial"/>
                <w:b w:val="0"/>
                <w:sz w:val="17"/>
              </w:rPr>
              <w:t>NMED/local food permit path</w:t>
            </w:r>
          </w:p>
        </w:tc>
        <w:tc>
          <w:tcPr>
            <w:tcW w:type="dxa" w:w="3360"/>
            <w:vAlign w:val="center"/>
          </w:tcPr>
          <w:p>
            <w:pPr>
              <w:spacing w:after="40"/>
            </w:pPr>
            <w:r>
              <w:rPr>
                <w:rFonts w:ascii="Arial" w:hAnsi="Arial"/>
                <w:sz w:val="17"/>
              </w:rPr>
            </w:r>
            <w:r>
              <w:rPr>
                <w:rFonts w:ascii="Arial" w:hAnsi="Arial"/>
                <w:b w:val="0"/>
                <w:sz w:val="17"/>
              </w:rPr>
              <w:t>Confirms the operator may legally produce for public sale.</w:t>
            </w:r>
          </w:p>
        </w:tc>
        <w:tc>
          <w:tcPr>
            <w:tcW w:type="dxa" w:w="3360"/>
            <w:vAlign w:val="center"/>
          </w:tcPr>
          <w:p>
            <w:pPr>
              <w:spacing w:after="40"/>
            </w:pPr>
            <w:r>
              <w:rPr>
                <w:rFonts w:ascii="Arial" w:hAnsi="Arial"/>
                <w:sz w:val="17"/>
              </w:rPr>
            </w:r>
            <w:r>
              <w:rPr>
                <w:rFonts w:ascii="Arial" w:hAnsi="Arial"/>
                <w:b w:val="0"/>
                <w:sz w:val="17"/>
              </w:rPr>
              <w:t>Required before public sale</w:t>
            </w:r>
          </w:p>
        </w:tc>
      </w:tr>
      <w:tr>
        <w:tc>
          <w:tcPr>
            <w:tcW w:type="dxa" w:w="3360"/>
            <w:vAlign w:val="center"/>
          </w:tcPr>
          <w:p>
            <w:pPr>
              <w:spacing w:after="40"/>
            </w:pPr>
            <w:r>
              <w:rPr>
                <w:rFonts w:ascii="Arial" w:hAnsi="Arial"/>
                <w:sz w:val="17"/>
              </w:rPr>
            </w:r>
            <w:r>
              <w:rPr>
                <w:rFonts w:ascii="Arial" w:hAnsi="Arial"/>
                <w:b w:val="0"/>
                <w:sz w:val="17"/>
              </w:rPr>
              <w:t>Commercial general liability insurance</w:t>
            </w:r>
          </w:p>
        </w:tc>
        <w:tc>
          <w:tcPr>
            <w:tcW w:type="dxa" w:w="3360"/>
            <w:vAlign w:val="center"/>
          </w:tcPr>
          <w:p>
            <w:pPr>
              <w:spacing w:after="40"/>
            </w:pPr>
            <w:r>
              <w:rPr>
                <w:rFonts w:ascii="Arial" w:hAnsi="Arial"/>
                <w:sz w:val="17"/>
              </w:rPr>
            </w:r>
            <w:r>
              <w:rPr>
                <w:rFonts w:ascii="Arial" w:hAnsi="Arial"/>
                <w:b w:val="0"/>
                <w:sz w:val="17"/>
              </w:rPr>
              <w:t>Protects operator and facility; facility should be named additional insured where required.</w:t>
            </w:r>
          </w:p>
        </w:tc>
        <w:tc>
          <w:tcPr>
            <w:tcW w:type="dxa" w:w="3360"/>
            <w:vAlign w:val="center"/>
          </w:tcPr>
          <w:p>
            <w:pPr>
              <w:spacing w:after="40"/>
            </w:pPr>
            <w:r>
              <w:rPr>
                <w:rFonts w:ascii="Arial" w:hAnsi="Arial"/>
                <w:sz w:val="17"/>
              </w:rPr>
            </w:r>
            <w:r>
              <w:rPr>
                <w:rFonts w:ascii="Arial" w:hAnsi="Arial"/>
                <w:b w:val="0"/>
                <w:sz w:val="17"/>
              </w:rPr>
              <w:t>Required before access</w:t>
            </w:r>
          </w:p>
        </w:tc>
      </w:tr>
      <w:tr>
        <w:tc>
          <w:tcPr>
            <w:tcW w:type="dxa" w:w="3360"/>
            <w:vAlign w:val="center"/>
          </w:tcPr>
          <w:p>
            <w:pPr>
              <w:spacing w:after="40"/>
            </w:pPr>
            <w:r>
              <w:rPr>
                <w:rFonts w:ascii="Arial" w:hAnsi="Arial"/>
                <w:sz w:val="17"/>
              </w:rPr>
            </w:r>
            <w:r>
              <w:rPr>
                <w:rFonts w:ascii="Arial" w:hAnsi="Arial"/>
                <w:b w:val="0"/>
                <w:sz w:val="17"/>
              </w:rPr>
              <w:t>City/local business registration</w:t>
            </w:r>
          </w:p>
        </w:tc>
        <w:tc>
          <w:tcPr>
            <w:tcW w:type="dxa" w:w="3360"/>
            <w:vAlign w:val="center"/>
          </w:tcPr>
          <w:p>
            <w:pPr>
              <w:spacing w:after="40"/>
            </w:pPr>
            <w:r>
              <w:rPr>
                <w:rFonts w:ascii="Arial" w:hAnsi="Arial"/>
                <w:sz w:val="17"/>
              </w:rPr>
            </w:r>
            <w:r>
              <w:rPr>
                <w:rFonts w:ascii="Arial" w:hAnsi="Arial"/>
                <w:b w:val="0"/>
                <w:sz w:val="17"/>
              </w:rPr>
              <w:t>Confirms local business licensing path.</w:t>
            </w:r>
          </w:p>
        </w:tc>
        <w:tc>
          <w:tcPr>
            <w:tcW w:type="dxa" w:w="3360"/>
            <w:vAlign w:val="center"/>
          </w:tcPr>
          <w:p>
            <w:pPr>
              <w:spacing w:after="40"/>
            </w:pPr>
            <w:r>
              <w:rPr>
                <w:rFonts w:ascii="Arial" w:hAnsi="Arial"/>
                <w:sz w:val="17"/>
              </w:rPr>
            </w:r>
            <w:r>
              <w:rPr>
                <w:rFonts w:ascii="Arial" w:hAnsi="Arial"/>
                <w:b w:val="0"/>
                <w:sz w:val="17"/>
              </w:rPr>
              <w:t>Required before regular operations</w:t>
            </w:r>
          </w:p>
        </w:tc>
      </w:tr>
      <w:tr>
        <w:tc>
          <w:tcPr>
            <w:tcW w:type="dxa" w:w="3360"/>
            <w:vAlign w:val="center"/>
          </w:tcPr>
          <w:p>
            <w:pPr>
              <w:spacing w:after="40"/>
            </w:pPr>
            <w:r>
              <w:rPr>
                <w:rFonts w:ascii="Arial" w:hAnsi="Arial"/>
                <w:sz w:val="17"/>
              </w:rPr>
            </w:r>
            <w:r>
              <w:rPr>
                <w:rFonts w:ascii="Arial" w:hAnsi="Arial"/>
                <w:b w:val="0"/>
                <w:sz w:val="17"/>
              </w:rPr>
              <w:t>Storage assignment and labeling plan</w:t>
            </w:r>
          </w:p>
        </w:tc>
        <w:tc>
          <w:tcPr>
            <w:tcW w:type="dxa" w:w="3360"/>
            <w:vAlign w:val="center"/>
          </w:tcPr>
          <w:p>
            <w:pPr>
              <w:spacing w:after="40"/>
            </w:pPr>
            <w:r>
              <w:rPr>
                <w:rFonts w:ascii="Arial" w:hAnsi="Arial"/>
                <w:sz w:val="17"/>
              </w:rPr>
            </w:r>
            <w:r>
              <w:rPr>
                <w:rFonts w:ascii="Arial" w:hAnsi="Arial"/>
                <w:b w:val="0"/>
                <w:sz w:val="17"/>
              </w:rPr>
              <w:t>Prevents cross-use, abandoned product, and unclear ownership.</w:t>
            </w:r>
          </w:p>
        </w:tc>
        <w:tc>
          <w:tcPr>
            <w:tcW w:type="dxa" w:w="3360"/>
            <w:vAlign w:val="center"/>
          </w:tcPr>
          <w:p>
            <w:pPr>
              <w:spacing w:after="40"/>
            </w:pPr>
            <w:r>
              <w:rPr>
                <w:rFonts w:ascii="Arial" w:hAnsi="Arial"/>
                <w:sz w:val="17"/>
              </w:rPr>
            </w:r>
            <w:r>
              <w:rPr>
                <w:rFonts w:ascii="Arial" w:hAnsi="Arial"/>
                <w:b w:val="0"/>
                <w:sz w:val="17"/>
              </w:rPr>
              <w:t>Required before storage</w:t>
            </w:r>
          </w:p>
        </w:tc>
      </w:tr>
      <w:tr>
        <w:tc>
          <w:tcPr>
            <w:tcW w:type="dxa" w:w="3360"/>
            <w:vAlign w:val="center"/>
          </w:tcPr>
          <w:p>
            <w:pPr>
              <w:spacing w:after="40"/>
            </w:pPr>
            <w:r>
              <w:rPr>
                <w:rFonts w:ascii="Arial" w:hAnsi="Arial"/>
                <w:sz w:val="17"/>
              </w:rPr>
            </w:r>
            <w:r>
              <w:rPr>
                <w:rFonts w:ascii="Arial" w:hAnsi="Arial"/>
                <w:b w:val="0"/>
                <w:sz w:val="17"/>
              </w:rPr>
              <w:t>Scheduling and access setup</w:t>
            </w:r>
          </w:p>
        </w:tc>
        <w:tc>
          <w:tcPr>
            <w:tcW w:type="dxa" w:w="3360"/>
            <w:vAlign w:val="center"/>
          </w:tcPr>
          <w:p>
            <w:pPr>
              <w:spacing w:after="40"/>
            </w:pPr>
            <w:r>
              <w:rPr>
                <w:rFonts w:ascii="Arial" w:hAnsi="Arial"/>
                <w:sz w:val="17"/>
              </w:rPr>
            </w:r>
            <w:r>
              <w:rPr>
                <w:rFonts w:ascii="Arial" w:hAnsi="Arial"/>
                <w:b w:val="0"/>
                <w:sz w:val="17"/>
              </w:rPr>
              <w:t>Controls 24/7 or extended-hours use through approved booking/access systems.</w:t>
            </w:r>
          </w:p>
        </w:tc>
        <w:tc>
          <w:tcPr>
            <w:tcW w:type="dxa" w:w="3360"/>
            <w:vAlign w:val="center"/>
          </w:tcPr>
          <w:p>
            <w:pPr>
              <w:spacing w:after="40"/>
            </w:pPr>
            <w:r>
              <w:rPr>
                <w:rFonts w:ascii="Arial" w:hAnsi="Arial"/>
                <w:sz w:val="17"/>
              </w:rPr>
            </w:r>
            <w:r>
              <w:rPr>
                <w:rFonts w:ascii="Arial" w:hAnsi="Arial"/>
                <w:b w:val="0"/>
                <w:sz w:val="17"/>
              </w:rPr>
              <w:t>Required before independent access</w:t>
            </w:r>
          </w:p>
        </w:tc>
      </w:tr>
    </w:tbl>
    <w:p/>
    <w:p>
      <w:pPr>
        <w:pStyle w:val="Heading1"/>
      </w:pPr>
      <w:r>
        <w:t>Compliance File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File Category</w:t>
            </w:r>
          </w:p>
        </w:tc>
        <w:tc>
          <w:tcPr>
            <w:tcW w:type="dxa" w:w="3360"/>
            <w:vAlign w:val="center"/>
            <w:shd w:fill="1F4E5F"/>
          </w:tcPr>
          <w:p>
            <w:pPr>
              <w:spacing w:after="40"/>
            </w:pPr>
            <w:r>
              <w:rPr>
                <w:rFonts w:ascii="Arial" w:hAnsi="Arial"/>
                <w:sz w:val="17"/>
              </w:rPr>
            </w:r>
            <w:r>
              <w:rPr>
                <w:rFonts w:ascii="Arial" w:hAnsi="Arial"/>
                <w:b/>
                <w:color w:val="FFFFFF"/>
                <w:sz w:val="17"/>
              </w:rPr>
              <w:t>Documents to Maintain</w:t>
            </w:r>
          </w:p>
        </w:tc>
        <w:tc>
          <w:tcPr>
            <w:tcW w:type="dxa" w:w="3360"/>
            <w:vAlign w:val="center"/>
            <w:shd w:fill="1F4E5F"/>
          </w:tcPr>
          <w:p>
            <w:pPr>
              <w:spacing w:after="40"/>
            </w:pPr>
            <w:r>
              <w:rPr>
                <w:rFonts w:ascii="Arial" w:hAnsi="Arial"/>
                <w:sz w:val="17"/>
              </w:rPr>
            </w:r>
            <w:r>
              <w:rPr>
                <w:rFonts w:ascii="Arial" w:hAnsi="Arial"/>
                <w:b/>
                <w:color w:val="FFFFFF"/>
                <w:sz w:val="17"/>
              </w:rPr>
              <w:t>Responsible Owner</w:t>
            </w:r>
          </w:p>
        </w:tc>
      </w:tr>
      <w:tr>
        <w:tc>
          <w:tcPr>
            <w:tcW w:type="dxa" w:w="3360"/>
            <w:vAlign w:val="center"/>
          </w:tcPr>
          <w:p>
            <w:pPr>
              <w:spacing w:after="40"/>
            </w:pPr>
            <w:r>
              <w:rPr>
                <w:rFonts w:ascii="Arial" w:hAnsi="Arial"/>
                <w:sz w:val="17"/>
              </w:rPr>
            </w:r>
            <w:r>
              <w:rPr>
                <w:rFonts w:ascii="Arial" w:hAnsi="Arial"/>
                <w:b w:val="0"/>
                <w:sz w:val="17"/>
              </w:rPr>
              <w:t>Food permits and plan review</w:t>
            </w:r>
          </w:p>
        </w:tc>
        <w:tc>
          <w:tcPr>
            <w:tcW w:type="dxa" w:w="3360"/>
            <w:vAlign w:val="center"/>
          </w:tcPr>
          <w:p>
            <w:pPr>
              <w:spacing w:after="40"/>
            </w:pPr>
            <w:r>
              <w:rPr>
                <w:rFonts w:ascii="Arial" w:hAnsi="Arial"/>
                <w:sz w:val="17"/>
              </w:rPr>
            </w:r>
            <w:r>
              <w:rPr>
                <w:rFonts w:ascii="Arial" w:hAnsi="Arial"/>
                <w:b w:val="0"/>
                <w:sz w:val="17"/>
              </w:rPr>
              <w:t>NMED applications, permit approvals, inspection reports, approved plans, equipment lists, menu/process descriptions, corrective-action records.</w:t>
            </w:r>
          </w:p>
        </w:tc>
        <w:tc>
          <w:tcPr>
            <w:tcW w:type="dxa" w:w="3360"/>
            <w:vAlign w:val="center"/>
          </w:tcPr>
          <w:p>
            <w:pPr>
              <w:spacing w:after="40"/>
            </w:pPr>
            <w:r>
              <w:rPr>
                <w:rFonts w:ascii="Arial" w:hAnsi="Arial"/>
                <w:sz w:val="17"/>
              </w:rPr>
            </w:r>
            <w:r>
              <w:rPr>
                <w:rFonts w:ascii="Arial" w:hAnsi="Arial"/>
                <w:b w:val="0"/>
                <w:sz w:val="17"/>
              </w:rPr>
              <w:t>Operations Director / Kitchen Manager</w:t>
            </w:r>
          </w:p>
        </w:tc>
      </w:tr>
      <w:tr>
        <w:tc>
          <w:tcPr>
            <w:tcW w:type="dxa" w:w="3360"/>
            <w:vAlign w:val="center"/>
          </w:tcPr>
          <w:p>
            <w:pPr>
              <w:spacing w:after="40"/>
            </w:pPr>
            <w:r>
              <w:rPr>
                <w:rFonts w:ascii="Arial" w:hAnsi="Arial"/>
                <w:sz w:val="17"/>
              </w:rPr>
            </w:r>
            <w:r>
              <w:rPr>
                <w:rFonts w:ascii="Arial" w:hAnsi="Arial"/>
                <w:b w:val="0"/>
                <w:sz w:val="17"/>
              </w:rPr>
              <w:t>Training records</w:t>
            </w:r>
          </w:p>
        </w:tc>
        <w:tc>
          <w:tcPr>
            <w:tcW w:type="dxa" w:w="3360"/>
            <w:vAlign w:val="center"/>
          </w:tcPr>
          <w:p>
            <w:pPr>
              <w:spacing w:after="40"/>
            </w:pPr>
            <w:r>
              <w:rPr>
                <w:rFonts w:ascii="Arial" w:hAnsi="Arial"/>
                <w:sz w:val="17"/>
              </w:rPr>
            </w:r>
            <w:r>
              <w:rPr>
                <w:rFonts w:ascii="Arial" w:hAnsi="Arial"/>
                <w:b w:val="0"/>
                <w:sz w:val="17"/>
              </w:rPr>
              <w:t>Food handler cards or approved training records, Certified Food Protection Manager certificates, allergen training, chemical safety, emergency procedure signoffs.</w:t>
            </w:r>
          </w:p>
        </w:tc>
        <w:tc>
          <w:tcPr>
            <w:tcW w:type="dxa" w:w="3360"/>
            <w:vAlign w:val="center"/>
          </w:tcPr>
          <w:p>
            <w:pPr>
              <w:spacing w:after="40"/>
            </w:pPr>
            <w:r>
              <w:rPr>
                <w:rFonts w:ascii="Arial" w:hAnsi="Arial"/>
                <w:sz w:val="17"/>
              </w:rPr>
            </w:r>
            <w:r>
              <w:rPr>
                <w:rFonts w:ascii="Arial" w:hAnsi="Arial"/>
                <w:b w:val="0"/>
                <w:sz w:val="17"/>
              </w:rPr>
              <w:t>Kitchen Manager / Program Coordinator</w:t>
            </w:r>
          </w:p>
        </w:tc>
      </w:tr>
      <w:tr>
        <w:tc>
          <w:tcPr>
            <w:tcW w:type="dxa" w:w="3360"/>
            <w:vAlign w:val="center"/>
          </w:tcPr>
          <w:p>
            <w:pPr>
              <w:spacing w:after="40"/>
            </w:pPr>
            <w:r>
              <w:rPr>
                <w:rFonts w:ascii="Arial" w:hAnsi="Arial"/>
                <w:sz w:val="17"/>
              </w:rPr>
            </w:r>
            <w:r>
              <w:rPr>
                <w:rFonts w:ascii="Arial" w:hAnsi="Arial"/>
                <w:b w:val="0"/>
                <w:sz w:val="17"/>
              </w:rPr>
              <w:t>Daily food-safety logs</w:t>
            </w:r>
          </w:p>
        </w:tc>
        <w:tc>
          <w:tcPr>
            <w:tcW w:type="dxa" w:w="3360"/>
            <w:vAlign w:val="center"/>
          </w:tcPr>
          <w:p>
            <w:pPr>
              <w:spacing w:after="40"/>
            </w:pPr>
            <w:r>
              <w:rPr>
                <w:rFonts w:ascii="Arial" w:hAnsi="Arial"/>
                <w:sz w:val="17"/>
              </w:rPr>
            </w:r>
            <w:r>
              <w:rPr>
                <w:rFonts w:ascii="Arial" w:hAnsi="Arial"/>
                <w:b w:val="0"/>
                <w:sz w:val="17"/>
              </w:rPr>
              <w:t>Receiving logs, cold/hot holding logs, cooling/reheating logs, sanitizer logs, cleaning schedules, pest-control records.</w:t>
            </w:r>
          </w:p>
        </w:tc>
        <w:tc>
          <w:tcPr>
            <w:tcW w:type="dxa" w:w="3360"/>
            <w:vAlign w:val="center"/>
          </w:tcPr>
          <w:p>
            <w:pPr>
              <w:spacing w:after="40"/>
            </w:pPr>
            <w:r>
              <w:rPr>
                <w:rFonts w:ascii="Arial" w:hAnsi="Arial"/>
                <w:sz w:val="17"/>
              </w:rPr>
            </w:r>
            <w:r>
              <w:rPr>
                <w:rFonts w:ascii="Arial" w:hAnsi="Arial"/>
                <w:b w:val="0"/>
                <w:sz w:val="17"/>
              </w:rPr>
              <w:t>Shift Lead / Person in Charge</w:t>
            </w:r>
          </w:p>
        </w:tc>
      </w:tr>
      <w:tr>
        <w:tc>
          <w:tcPr>
            <w:tcW w:type="dxa" w:w="3360"/>
            <w:vAlign w:val="center"/>
          </w:tcPr>
          <w:p>
            <w:pPr>
              <w:spacing w:after="40"/>
            </w:pPr>
            <w:r>
              <w:rPr>
                <w:rFonts w:ascii="Arial" w:hAnsi="Arial"/>
                <w:sz w:val="17"/>
              </w:rPr>
            </w:r>
            <w:r>
              <w:rPr>
                <w:rFonts w:ascii="Arial" w:hAnsi="Arial"/>
                <w:b w:val="0"/>
                <w:sz w:val="17"/>
              </w:rPr>
              <w:t>Vendor files</w:t>
            </w:r>
          </w:p>
        </w:tc>
        <w:tc>
          <w:tcPr>
            <w:tcW w:type="dxa" w:w="3360"/>
            <w:vAlign w:val="center"/>
          </w:tcPr>
          <w:p>
            <w:pPr>
              <w:spacing w:after="40"/>
            </w:pPr>
            <w:r>
              <w:rPr>
                <w:rFonts w:ascii="Arial" w:hAnsi="Arial"/>
                <w:sz w:val="17"/>
              </w:rPr>
            </w:r>
            <w:r>
              <w:rPr>
                <w:rFonts w:ascii="Arial" w:hAnsi="Arial"/>
                <w:b w:val="0"/>
                <w:sz w:val="17"/>
              </w:rPr>
              <w:t>License agreement, insurance certificate, permits, menu, allergens, retail addendum, POS setup, tax documentation, emergency contacts.</w:t>
            </w:r>
          </w:p>
        </w:tc>
        <w:tc>
          <w:tcPr>
            <w:tcW w:type="dxa" w:w="3360"/>
            <w:vAlign w:val="center"/>
          </w:tcPr>
          <w:p>
            <w:pPr>
              <w:spacing w:after="40"/>
            </w:pPr>
            <w:r>
              <w:rPr>
                <w:rFonts w:ascii="Arial" w:hAnsi="Arial"/>
                <w:sz w:val="17"/>
              </w:rPr>
            </w:r>
            <w:r>
              <w:rPr>
                <w:rFonts w:ascii="Arial" w:hAnsi="Arial"/>
                <w:b w:val="0"/>
                <w:sz w:val="17"/>
              </w:rPr>
              <w:t>Incubator Director / Admin</w:t>
            </w:r>
          </w:p>
        </w:tc>
      </w:tr>
      <w:tr>
        <w:tc>
          <w:tcPr>
            <w:tcW w:type="dxa" w:w="3360"/>
            <w:vAlign w:val="center"/>
          </w:tcPr>
          <w:p>
            <w:pPr>
              <w:spacing w:after="40"/>
            </w:pPr>
            <w:r>
              <w:rPr>
                <w:rFonts w:ascii="Arial" w:hAnsi="Arial"/>
                <w:sz w:val="17"/>
              </w:rPr>
            </w:r>
            <w:r>
              <w:rPr>
                <w:rFonts w:ascii="Arial" w:hAnsi="Arial"/>
                <w:b w:val="0"/>
                <w:sz w:val="17"/>
              </w:rPr>
              <w:t>Business/tax records</w:t>
            </w:r>
          </w:p>
        </w:tc>
        <w:tc>
          <w:tcPr>
            <w:tcW w:type="dxa" w:w="3360"/>
            <w:vAlign w:val="center"/>
          </w:tcPr>
          <w:p>
            <w:pPr>
              <w:spacing w:after="40"/>
            </w:pPr>
            <w:r>
              <w:rPr>
                <w:rFonts w:ascii="Arial" w:hAnsi="Arial"/>
                <w:sz w:val="17"/>
              </w:rPr>
            </w:r>
            <w:r>
              <w:rPr>
                <w:rFonts w:ascii="Arial" w:hAnsi="Arial"/>
                <w:b w:val="0"/>
                <w:sz w:val="17"/>
              </w:rPr>
              <w:t>NM CRS/business tax registration, Las Cruces business registration, GRT filing support, W-9/vendor tax records where applicable.</w:t>
            </w:r>
          </w:p>
        </w:tc>
        <w:tc>
          <w:tcPr>
            <w:tcW w:type="dxa" w:w="3360"/>
            <w:vAlign w:val="center"/>
          </w:tcPr>
          <w:p>
            <w:pPr>
              <w:spacing w:after="40"/>
            </w:pPr>
            <w:r>
              <w:rPr>
                <w:rFonts w:ascii="Arial" w:hAnsi="Arial"/>
                <w:sz w:val="17"/>
              </w:rPr>
            </w:r>
            <w:r>
              <w:rPr>
                <w:rFonts w:ascii="Arial" w:hAnsi="Arial"/>
                <w:b w:val="0"/>
                <w:sz w:val="17"/>
              </w:rPr>
              <w:t>Finance/Admin</w:t>
            </w:r>
          </w:p>
        </w:tc>
      </w:tr>
      <w:tr>
        <w:tc>
          <w:tcPr>
            <w:tcW w:type="dxa" w:w="3360"/>
            <w:vAlign w:val="center"/>
          </w:tcPr>
          <w:p>
            <w:pPr>
              <w:spacing w:after="40"/>
            </w:pPr>
            <w:r>
              <w:rPr>
                <w:rFonts w:ascii="Arial" w:hAnsi="Arial"/>
                <w:sz w:val="17"/>
              </w:rPr>
            </w:r>
            <w:r>
              <w:rPr>
                <w:rFonts w:ascii="Arial" w:hAnsi="Arial"/>
                <w:b w:val="0"/>
                <w:sz w:val="17"/>
              </w:rPr>
              <w:t>Alcohol records</w:t>
            </w:r>
          </w:p>
        </w:tc>
        <w:tc>
          <w:tcPr>
            <w:tcW w:type="dxa" w:w="3360"/>
            <w:vAlign w:val="center"/>
          </w:tcPr>
          <w:p>
            <w:pPr>
              <w:spacing w:after="40"/>
            </w:pPr>
            <w:r>
              <w:rPr>
                <w:rFonts w:ascii="Arial" w:hAnsi="Arial"/>
                <w:sz w:val="17"/>
              </w:rPr>
            </w:r>
            <w:r>
              <w:rPr>
                <w:rFonts w:ascii="Arial" w:hAnsi="Arial"/>
                <w:b w:val="0"/>
                <w:sz w:val="17"/>
              </w:rPr>
              <w:t>ABC/RLD license documents, alcohol server permits/training, event permits, inventory records, incident logs, age-verification policy.</w:t>
            </w:r>
          </w:p>
        </w:tc>
        <w:tc>
          <w:tcPr>
            <w:tcW w:type="dxa" w:w="3360"/>
            <w:vAlign w:val="center"/>
          </w:tcPr>
          <w:p>
            <w:pPr>
              <w:spacing w:after="40"/>
            </w:pPr>
            <w:r>
              <w:rPr>
                <w:rFonts w:ascii="Arial" w:hAnsi="Arial"/>
                <w:sz w:val="17"/>
              </w:rPr>
            </w:r>
            <w:r>
              <w:rPr>
                <w:rFonts w:ascii="Arial" w:hAnsi="Arial"/>
                <w:b w:val="0"/>
                <w:sz w:val="17"/>
              </w:rPr>
              <w:t>Bar Manager / Compliance Lead</w:t>
            </w:r>
          </w:p>
        </w:tc>
      </w:tr>
      <w:tr>
        <w:tc>
          <w:tcPr>
            <w:tcW w:type="dxa" w:w="3360"/>
            <w:vAlign w:val="center"/>
          </w:tcPr>
          <w:p>
            <w:pPr>
              <w:spacing w:after="40"/>
            </w:pPr>
            <w:r>
              <w:rPr>
                <w:rFonts w:ascii="Arial" w:hAnsi="Arial"/>
                <w:sz w:val="17"/>
              </w:rPr>
            </w:r>
            <w:r>
              <w:rPr>
                <w:rFonts w:ascii="Arial" w:hAnsi="Arial"/>
                <w:b w:val="0"/>
                <w:sz w:val="17"/>
              </w:rPr>
              <w:t>Packaged-food retail</w:t>
            </w:r>
          </w:p>
        </w:tc>
        <w:tc>
          <w:tcPr>
            <w:tcW w:type="dxa" w:w="3360"/>
            <w:vAlign w:val="center"/>
          </w:tcPr>
          <w:p>
            <w:pPr>
              <w:spacing w:after="40"/>
            </w:pPr>
            <w:r>
              <w:rPr>
                <w:rFonts w:ascii="Arial" w:hAnsi="Arial"/>
                <w:sz w:val="17"/>
              </w:rPr>
            </w:r>
            <w:r>
              <w:rPr>
                <w:rFonts w:ascii="Arial" w:hAnsi="Arial"/>
                <w:b w:val="0"/>
                <w:sz w:val="17"/>
              </w:rPr>
              <w:t>Product approvals, ingredient/allergen labels, batch/source records, vendor product liability coverage, recall contact list.</w:t>
            </w:r>
          </w:p>
        </w:tc>
        <w:tc>
          <w:tcPr>
            <w:tcW w:type="dxa" w:w="3360"/>
            <w:vAlign w:val="center"/>
          </w:tcPr>
          <w:p>
            <w:pPr>
              <w:spacing w:after="40"/>
            </w:pPr>
            <w:r>
              <w:rPr>
                <w:rFonts w:ascii="Arial" w:hAnsi="Arial"/>
                <w:sz w:val="17"/>
              </w:rPr>
            </w:r>
            <w:r>
              <w:rPr>
                <w:rFonts w:ascii="Arial" w:hAnsi="Arial"/>
                <w:b w:val="0"/>
                <w:sz w:val="17"/>
              </w:rPr>
              <w:t>Retail Manager / Vendor</w:t>
            </w:r>
          </w:p>
        </w:tc>
      </w:tr>
      <w:tr>
        <w:tc>
          <w:tcPr>
            <w:tcW w:type="dxa" w:w="3360"/>
            <w:vAlign w:val="center"/>
          </w:tcPr>
          <w:p>
            <w:pPr>
              <w:spacing w:after="40"/>
            </w:pPr>
            <w:r>
              <w:rPr>
                <w:rFonts w:ascii="Arial" w:hAnsi="Arial"/>
                <w:sz w:val="17"/>
              </w:rPr>
            </w:r>
            <w:r>
              <w:rPr>
                <w:rFonts w:ascii="Arial" w:hAnsi="Arial"/>
                <w:b w:val="0"/>
                <w:sz w:val="17"/>
              </w:rPr>
              <w:t>Employment and insurance</w:t>
            </w:r>
          </w:p>
        </w:tc>
        <w:tc>
          <w:tcPr>
            <w:tcW w:type="dxa" w:w="3360"/>
            <w:vAlign w:val="center"/>
          </w:tcPr>
          <w:p>
            <w:pPr>
              <w:spacing w:after="40"/>
            </w:pPr>
            <w:r>
              <w:rPr>
                <w:rFonts w:ascii="Arial" w:hAnsi="Arial"/>
                <w:sz w:val="17"/>
              </w:rPr>
            </w:r>
            <w:r>
              <w:rPr>
                <w:rFonts w:ascii="Arial" w:hAnsi="Arial"/>
                <w:b w:val="0"/>
                <w:sz w:val="17"/>
              </w:rPr>
              <w:t>Workers' compensation coverage, unemployment registration where applicable, payroll records, incident/injury reports, liability policies.</w:t>
            </w:r>
          </w:p>
        </w:tc>
        <w:tc>
          <w:tcPr>
            <w:tcW w:type="dxa" w:w="3360"/>
            <w:vAlign w:val="center"/>
          </w:tcPr>
          <w:p>
            <w:pPr>
              <w:spacing w:after="40"/>
            </w:pPr>
            <w:r>
              <w:rPr>
                <w:rFonts w:ascii="Arial" w:hAnsi="Arial"/>
                <w:sz w:val="17"/>
              </w:rPr>
            </w:r>
            <w:r>
              <w:rPr>
                <w:rFonts w:ascii="Arial" w:hAnsi="Arial"/>
                <w:b w:val="0"/>
                <w:sz w:val="17"/>
              </w:rPr>
              <w:t>Owner / HR / Insurance Broker</w:t>
            </w:r>
          </w:p>
        </w:tc>
      </w:tr>
      <w:tr>
        <w:tc>
          <w:tcPr>
            <w:tcW w:type="dxa" w:w="3360"/>
            <w:vAlign w:val="center"/>
          </w:tcPr>
          <w:p>
            <w:pPr>
              <w:spacing w:after="40"/>
            </w:pPr>
            <w:r>
              <w:rPr>
                <w:rFonts w:ascii="Arial" w:hAnsi="Arial"/>
                <w:sz w:val="17"/>
              </w:rPr>
            </w:r>
            <w:r>
              <w:rPr>
                <w:rFonts w:ascii="Arial" w:hAnsi="Arial"/>
                <w:b w:val="0"/>
                <w:sz w:val="17"/>
              </w:rPr>
              <w:t>Facility and safety</w:t>
            </w:r>
          </w:p>
        </w:tc>
        <w:tc>
          <w:tcPr>
            <w:tcW w:type="dxa" w:w="3360"/>
            <w:vAlign w:val="center"/>
          </w:tcPr>
          <w:p>
            <w:pPr>
              <w:spacing w:after="40"/>
            </w:pPr>
            <w:r>
              <w:rPr>
                <w:rFonts w:ascii="Arial" w:hAnsi="Arial"/>
                <w:sz w:val="17"/>
              </w:rPr>
            </w:r>
            <w:r>
              <w:rPr>
                <w:rFonts w:ascii="Arial" w:hAnsi="Arial"/>
                <w:b w:val="0"/>
                <w:sz w:val="17"/>
              </w:rPr>
              <w:t>Fire inspections, hood/fire-suppression service records, grease interceptor service, equipment maintenance, pest control, security reports.</w:t>
            </w:r>
          </w:p>
        </w:tc>
        <w:tc>
          <w:tcPr>
            <w:tcW w:type="dxa" w:w="3360"/>
            <w:vAlign w:val="center"/>
          </w:tcPr>
          <w:p>
            <w:pPr>
              <w:spacing w:after="40"/>
            </w:pPr>
            <w:r>
              <w:rPr>
                <w:rFonts w:ascii="Arial" w:hAnsi="Arial"/>
                <w:sz w:val="17"/>
              </w:rPr>
            </w:r>
            <w:r>
              <w:rPr>
                <w:rFonts w:ascii="Arial" w:hAnsi="Arial"/>
                <w:b w:val="0"/>
                <w:sz w:val="17"/>
              </w:rPr>
              <w:t>Facilities Lead</w:t>
            </w:r>
          </w:p>
        </w:tc>
      </w:tr>
    </w:tbl>
    <w:p/>
    <w:p>
      <w:pPr>
        <w:pStyle w:val="Heading1"/>
      </w:pPr>
      <w:r>
        <w:t>Sources and Reference Basis</w:t>
      </w:r>
    </w:p>
    <w:p>
      <w:r>
        <w:t>These sources are included to support compliance planning and operations design. They do not replace agency review, legal counsel, architectural/code review, insurance advice, CPA guidance, or final permit determinations.</w:t>
      </w:r>
    </w:p>
    <w:p>
      <w:pPr>
        <w:pStyle w:val="Heading2"/>
      </w:pPr>
      <w:r>
        <w:t>General Food Safety and Shared-Kitchen 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Source</w:t>
            </w:r>
          </w:p>
        </w:tc>
        <w:tc>
          <w:tcPr>
            <w:tcW w:type="dxa" w:w="3360"/>
            <w:vAlign w:val="center"/>
            <w:shd w:fill="1F4E5F"/>
          </w:tcPr>
          <w:p>
            <w:pPr>
              <w:spacing w:after="40"/>
            </w:pPr>
            <w:r>
              <w:rPr>
                <w:rFonts w:ascii="Arial" w:hAnsi="Arial"/>
                <w:sz w:val="17"/>
              </w:rPr>
            </w:r>
            <w:r>
              <w:rPr>
                <w:rFonts w:ascii="Arial" w:hAnsi="Arial"/>
                <w:b/>
                <w:color w:val="FFFFFF"/>
                <w:sz w:val="17"/>
              </w:rPr>
              <w:t>Use in Manual</w:t>
            </w:r>
          </w:p>
        </w:tc>
        <w:tc>
          <w:tcPr>
            <w:tcW w:type="dxa" w:w="3360"/>
            <w:vAlign w:val="center"/>
            <w:shd w:fill="1F4E5F"/>
          </w:tcPr>
          <w:p>
            <w:pPr>
              <w:spacing w:after="40"/>
            </w:pPr>
            <w:r>
              <w:rPr>
                <w:rFonts w:ascii="Arial" w:hAnsi="Arial"/>
                <w:sz w:val="17"/>
              </w:rPr>
            </w:r>
            <w:r>
              <w:rPr>
                <w:rFonts w:ascii="Arial" w:hAnsi="Arial"/>
                <w:b/>
                <w:color w:val="FFFFFF"/>
                <w:sz w:val="17"/>
              </w:rPr>
              <w:t>URL</w:t>
            </w:r>
          </w:p>
        </w:tc>
      </w:tr>
      <w:tr>
        <w:tc>
          <w:tcPr>
            <w:tcW w:type="dxa" w:w="3360"/>
            <w:vAlign w:val="center"/>
          </w:tcPr>
          <w:p>
            <w:pPr>
              <w:spacing w:after="40"/>
            </w:pPr>
            <w:r>
              <w:rPr>
                <w:rFonts w:ascii="Arial" w:hAnsi="Arial"/>
                <w:sz w:val="17"/>
              </w:rPr>
            </w:r>
            <w:r>
              <w:rPr>
                <w:rFonts w:ascii="Arial" w:hAnsi="Arial"/>
                <w:b w:val="0"/>
                <w:sz w:val="17"/>
              </w:rPr>
              <w:t>FDA Food Code 2022</w:t>
            </w:r>
          </w:p>
        </w:tc>
        <w:tc>
          <w:tcPr>
            <w:tcW w:type="dxa" w:w="3360"/>
            <w:vAlign w:val="center"/>
          </w:tcPr>
          <w:p>
            <w:pPr>
              <w:spacing w:after="40"/>
            </w:pPr>
            <w:r>
              <w:rPr>
                <w:rFonts w:ascii="Arial" w:hAnsi="Arial"/>
                <w:sz w:val="17"/>
              </w:rPr>
            </w:r>
            <w:r>
              <w:rPr>
                <w:rFonts w:ascii="Arial" w:hAnsi="Arial"/>
                <w:b w:val="0"/>
                <w:sz w:val="17"/>
              </w:rPr>
              <w:t>Model retail food code used to frame food safety, active managerial control, temperature control, contamination prevention, and sanitation concepts. State/local adoption may vary.</w:t>
            </w:r>
          </w:p>
        </w:tc>
        <w:tc>
          <w:tcPr>
            <w:tcW w:type="dxa" w:w="3360"/>
            <w:vAlign w:val="center"/>
          </w:tcPr>
          <w:p>
            <w:pPr>
              <w:spacing w:after="40"/>
            </w:pPr>
            <w:r>
              <w:rPr>
                <w:rFonts w:ascii="Arial" w:hAnsi="Arial"/>
                <w:sz w:val="17"/>
              </w:rPr>
            </w:r>
            <w:r>
              <w:rPr>
                <w:rFonts w:ascii="Arial" w:hAnsi="Arial"/>
                <w:b w:val="0"/>
                <w:sz w:val="17"/>
              </w:rPr>
              <w:t>https://www.fda.gov/food/fda-food-code/food-code-2022</w:t>
            </w:r>
          </w:p>
        </w:tc>
      </w:tr>
      <w:tr>
        <w:tc>
          <w:tcPr>
            <w:tcW w:type="dxa" w:w="3360"/>
            <w:vAlign w:val="center"/>
          </w:tcPr>
          <w:p>
            <w:pPr>
              <w:spacing w:after="40"/>
            </w:pPr>
            <w:r>
              <w:rPr>
                <w:rFonts w:ascii="Arial" w:hAnsi="Arial"/>
                <w:sz w:val="17"/>
              </w:rPr>
            </w:r>
            <w:r>
              <w:rPr>
                <w:rFonts w:ascii="Arial" w:hAnsi="Arial"/>
                <w:b w:val="0"/>
                <w:sz w:val="17"/>
              </w:rPr>
              <w:t>FDA HACCP Principles and Application Guidelines</w:t>
            </w:r>
          </w:p>
        </w:tc>
        <w:tc>
          <w:tcPr>
            <w:tcW w:type="dxa" w:w="3360"/>
            <w:vAlign w:val="center"/>
          </w:tcPr>
          <w:p>
            <w:pPr>
              <w:spacing w:after="40"/>
            </w:pPr>
            <w:r>
              <w:rPr>
                <w:rFonts w:ascii="Arial" w:hAnsi="Arial"/>
                <w:sz w:val="17"/>
              </w:rPr>
            </w:r>
            <w:r>
              <w:rPr>
                <w:rFonts w:ascii="Arial" w:hAnsi="Arial"/>
                <w:b w:val="0"/>
                <w:sz w:val="17"/>
              </w:rPr>
              <w:t>Reference for hazard analysis, critical control points, monitoring, corrective action, verification, and recordkeeping.</w:t>
            </w:r>
          </w:p>
        </w:tc>
        <w:tc>
          <w:tcPr>
            <w:tcW w:type="dxa" w:w="3360"/>
            <w:vAlign w:val="center"/>
          </w:tcPr>
          <w:p>
            <w:pPr>
              <w:spacing w:after="40"/>
            </w:pPr>
            <w:r>
              <w:rPr>
                <w:rFonts w:ascii="Arial" w:hAnsi="Arial"/>
                <w:sz w:val="17"/>
              </w:rPr>
            </w:r>
            <w:r>
              <w:rPr>
                <w:rFonts w:ascii="Arial" w:hAnsi="Arial"/>
                <w:b w:val="0"/>
                <w:sz w:val="17"/>
              </w:rPr>
              <w:t>https://www.fda.gov/food/hazard-analysis-critical-control-point-haccp/haccp-principles-application-guidelines</w:t>
            </w:r>
          </w:p>
        </w:tc>
      </w:tr>
      <w:tr>
        <w:tc>
          <w:tcPr>
            <w:tcW w:type="dxa" w:w="3360"/>
            <w:vAlign w:val="center"/>
          </w:tcPr>
          <w:p>
            <w:pPr>
              <w:spacing w:after="40"/>
            </w:pPr>
            <w:r>
              <w:rPr>
                <w:rFonts w:ascii="Arial" w:hAnsi="Arial"/>
                <w:sz w:val="17"/>
              </w:rPr>
            </w:r>
            <w:r>
              <w:rPr>
                <w:rFonts w:ascii="Arial" w:hAnsi="Arial"/>
                <w:b w:val="0"/>
                <w:sz w:val="17"/>
              </w:rPr>
              <w:t>SARE / Purdue Shared-Kitchen Toolkit</w:t>
            </w:r>
          </w:p>
        </w:tc>
        <w:tc>
          <w:tcPr>
            <w:tcW w:type="dxa" w:w="3360"/>
            <w:vAlign w:val="center"/>
          </w:tcPr>
          <w:p>
            <w:pPr>
              <w:spacing w:after="40"/>
            </w:pPr>
            <w:r>
              <w:rPr>
                <w:rFonts w:ascii="Arial" w:hAnsi="Arial"/>
                <w:sz w:val="17"/>
              </w:rPr>
            </w:r>
            <w:r>
              <w:rPr>
                <w:rFonts w:ascii="Arial" w:hAnsi="Arial"/>
                <w:b w:val="0"/>
                <w:sz w:val="17"/>
              </w:rPr>
              <w:t>Shared-use commercial kitchen planning, launch, management, and user-support reference.</w:t>
            </w:r>
          </w:p>
        </w:tc>
        <w:tc>
          <w:tcPr>
            <w:tcW w:type="dxa" w:w="3360"/>
            <w:vAlign w:val="center"/>
          </w:tcPr>
          <w:p>
            <w:pPr>
              <w:spacing w:after="40"/>
            </w:pPr>
            <w:r>
              <w:rPr>
                <w:rFonts w:ascii="Arial" w:hAnsi="Arial"/>
                <w:sz w:val="17"/>
              </w:rPr>
            </w:r>
            <w:r>
              <w:rPr>
                <w:rFonts w:ascii="Arial" w:hAnsi="Arial"/>
                <w:b w:val="0"/>
                <w:sz w:val="17"/>
              </w:rPr>
              <w:t>https://projects.sare.org/information-product/shared-kitchen-toolkit-a-practical-guide-to-planning-launching-and-managing-a-shared-use-commercial-kitchen/</w:t>
            </w:r>
          </w:p>
        </w:tc>
      </w:tr>
      <w:tr>
        <w:tc>
          <w:tcPr>
            <w:tcW w:type="dxa" w:w="3360"/>
            <w:vAlign w:val="center"/>
          </w:tcPr>
          <w:p>
            <w:pPr>
              <w:spacing w:after="40"/>
            </w:pPr>
            <w:r>
              <w:rPr>
                <w:rFonts w:ascii="Arial" w:hAnsi="Arial"/>
                <w:sz w:val="17"/>
              </w:rPr>
            </w:r>
            <w:r>
              <w:rPr>
                <w:rFonts w:ascii="Arial" w:hAnsi="Arial"/>
                <w:b w:val="0"/>
                <w:sz w:val="17"/>
              </w:rPr>
              <w:t>The Food Corridor</w:t>
            </w:r>
          </w:p>
        </w:tc>
        <w:tc>
          <w:tcPr>
            <w:tcW w:type="dxa" w:w="3360"/>
            <w:vAlign w:val="center"/>
          </w:tcPr>
          <w:p>
            <w:pPr>
              <w:spacing w:after="40"/>
            </w:pPr>
            <w:r>
              <w:rPr>
                <w:rFonts w:ascii="Arial" w:hAnsi="Arial"/>
                <w:sz w:val="17"/>
              </w:rPr>
            </w:r>
            <w:r>
              <w:rPr>
                <w:rFonts w:ascii="Arial" w:hAnsi="Arial"/>
                <w:b w:val="0"/>
                <w:sz w:val="17"/>
              </w:rPr>
              <w:t>Shared-kitchen scheduling, onboarding, billing, compliance document tracking, and renter-management practices.</w:t>
            </w:r>
          </w:p>
        </w:tc>
        <w:tc>
          <w:tcPr>
            <w:tcW w:type="dxa" w:w="3360"/>
            <w:vAlign w:val="center"/>
          </w:tcPr>
          <w:p>
            <w:pPr>
              <w:spacing w:after="40"/>
            </w:pPr>
            <w:r>
              <w:rPr>
                <w:rFonts w:ascii="Arial" w:hAnsi="Arial"/>
                <w:sz w:val="17"/>
              </w:rPr>
            </w:r>
            <w:r>
              <w:rPr>
                <w:rFonts w:ascii="Arial" w:hAnsi="Arial"/>
                <w:b w:val="0"/>
                <w:sz w:val="17"/>
              </w:rPr>
              <w:t>https://www.thefoodcorridor.com/</w:t>
            </w:r>
          </w:p>
        </w:tc>
      </w:tr>
      <w:tr>
        <w:tc>
          <w:tcPr>
            <w:tcW w:type="dxa" w:w="3360"/>
            <w:vAlign w:val="center"/>
          </w:tcPr>
          <w:p>
            <w:pPr>
              <w:spacing w:after="40"/>
            </w:pPr>
            <w:r>
              <w:rPr>
                <w:rFonts w:ascii="Arial" w:hAnsi="Arial"/>
                <w:sz w:val="17"/>
              </w:rPr>
            </w:r>
            <w:r>
              <w:rPr>
                <w:rFonts w:ascii="Arial" w:hAnsi="Arial"/>
                <w:b w:val="0"/>
                <w:sz w:val="17"/>
              </w:rPr>
              <w:t>La Cocina Program Model</w:t>
            </w:r>
          </w:p>
        </w:tc>
        <w:tc>
          <w:tcPr>
            <w:tcW w:type="dxa" w:w="3360"/>
            <w:vAlign w:val="center"/>
          </w:tcPr>
          <w:p>
            <w:pPr>
              <w:spacing w:after="40"/>
            </w:pPr>
            <w:r>
              <w:rPr>
                <w:rFonts w:ascii="Arial" w:hAnsi="Arial"/>
                <w:sz w:val="17"/>
              </w:rPr>
            </w:r>
            <w:r>
              <w:rPr>
                <w:rFonts w:ascii="Arial" w:hAnsi="Arial"/>
                <w:b w:val="0"/>
                <w:sz w:val="17"/>
              </w:rPr>
              <w:t>Incubator lifecycle reference for application, pre-incubation, incubation, graduation, and alumni support.</w:t>
            </w:r>
          </w:p>
        </w:tc>
        <w:tc>
          <w:tcPr>
            <w:tcW w:type="dxa" w:w="3360"/>
            <w:vAlign w:val="center"/>
          </w:tcPr>
          <w:p>
            <w:pPr>
              <w:spacing w:after="40"/>
            </w:pPr>
            <w:r>
              <w:rPr>
                <w:rFonts w:ascii="Arial" w:hAnsi="Arial"/>
                <w:sz w:val="17"/>
              </w:rPr>
            </w:r>
            <w:r>
              <w:rPr>
                <w:rFonts w:ascii="Arial" w:hAnsi="Arial"/>
                <w:b w:val="0"/>
                <w:sz w:val="17"/>
              </w:rPr>
              <w:t>https://www.lacocinasf.org/how-the-program-works/</w:t>
            </w:r>
          </w:p>
        </w:tc>
      </w:tr>
    </w:tbl>
    <w:p/>
    <w:p>
      <w:pPr>
        <w:pStyle w:val="Heading2"/>
      </w:pPr>
      <w:r>
        <w:t>New Mexico / Las Cruces Compliance 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Source</w:t>
            </w:r>
          </w:p>
        </w:tc>
        <w:tc>
          <w:tcPr>
            <w:tcW w:type="dxa" w:w="3360"/>
            <w:vAlign w:val="center"/>
            <w:shd w:fill="1F4E5F"/>
          </w:tcPr>
          <w:p>
            <w:pPr>
              <w:spacing w:after="40"/>
            </w:pPr>
            <w:r>
              <w:rPr>
                <w:rFonts w:ascii="Arial" w:hAnsi="Arial"/>
                <w:sz w:val="17"/>
              </w:rPr>
            </w:r>
            <w:r>
              <w:rPr>
                <w:rFonts w:ascii="Arial" w:hAnsi="Arial"/>
                <w:b/>
                <w:color w:val="FFFFFF"/>
                <w:sz w:val="17"/>
              </w:rPr>
              <w:t>Use in Manual</w:t>
            </w:r>
          </w:p>
        </w:tc>
        <w:tc>
          <w:tcPr>
            <w:tcW w:type="dxa" w:w="3360"/>
            <w:vAlign w:val="center"/>
            <w:shd w:fill="1F4E5F"/>
          </w:tcPr>
          <w:p>
            <w:pPr>
              <w:spacing w:after="40"/>
            </w:pPr>
            <w:r>
              <w:rPr>
                <w:rFonts w:ascii="Arial" w:hAnsi="Arial"/>
                <w:sz w:val="17"/>
              </w:rPr>
            </w:r>
            <w:r>
              <w:rPr>
                <w:rFonts w:ascii="Arial" w:hAnsi="Arial"/>
                <w:b/>
                <w:color w:val="FFFFFF"/>
                <w:sz w:val="17"/>
              </w:rPr>
              <w:t>URL</w:t>
            </w:r>
          </w:p>
        </w:tc>
      </w:tr>
      <w:tr>
        <w:tc>
          <w:tcPr>
            <w:tcW w:type="dxa" w:w="3360"/>
            <w:vAlign w:val="center"/>
          </w:tcPr>
          <w:p>
            <w:pPr>
              <w:spacing w:after="40"/>
            </w:pPr>
            <w:r>
              <w:rPr>
                <w:rFonts w:ascii="Arial" w:hAnsi="Arial"/>
                <w:sz w:val="17"/>
              </w:rPr>
            </w:r>
            <w:r>
              <w:rPr>
                <w:rFonts w:ascii="Arial" w:hAnsi="Arial"/>
                <w:b w:val="0"/>
                <w:sz w:val="17"/>
              </w:rPr>
              <w:t>NMED Food Program</w:t>
            </w:r>
          </w:p>
        </w:tc>
        <w:tc>
          <w:tcPr>
            <w:tcW w:type="dxa" w:w="3360"/>
            <w:vAlign w:val="center"/>
          </w:tcPr>
          <w:p>
            <w:pPr>
              <w:spacing w:after="40"/>
            </w:pPr>
            <w:r>
              <w:rPr>
                <w:rFonts w:ascii="Arial" w:hAnsi="Arial"/>
                <w:sz w:val="17"/>
              </w:rPr>
            </w:r>
            <w:r>
              <w:rPr>
                <w:rFonts w:ascii="Arial" w:hAnsi="Arial"/>
                <w:b w:val="0"/>
                <w:sz w:val="17"/>
              </w:rPr>
              <w:t>New Mexico food permitting, food handler/manager resources, retail food program guidance, and plan-review entry point.</w:t>
            </w:r>
          </w:p>
        </w:tc>
        <w:tc>
          <w:tcPr>
            <w:tcW w:type="dxa" w:w="3360"/>
            <w:vAlign w:val="center"/>
          </w:tcPr>
          <w:p>
            <w:pPr>
              <w:spacing w:after="40"/>
            </w:pPr>
            <w:r>
              <w:rPr>
                <w:rFonts w:ascii="Arial" w:hAnsi="Arial"/>
                <w:sz w:val="17"/>
              </w:rPr>
            </w:r>
            <w:r>
              <w:rPr>
                <w:rFonts w:ascii="Arial" w:hAnsi="Arial"/>
                <w:b w:val="0"/>
                <w:sz w:val="17"/>
              </w:rPr>
              <w:t>https://www.env.nm.gov/foodprogram/</w:t>
            </w:r>
          </w:p>
        </w:tc>
      </w:tr>
      <w:tr>
        <w:tc>
          <w:tcPr>
            <w:tcW w:type="dxa" w:w="3360"/>
            <w:vAlign w:val="center"/>
          </w:tcPr>
          <w:p>
            <w:pPr>
              <w:spacing w:after="40"/>
            </w:pPr>
            <w:r>
              <w:rPr>
                <w:rFonts w:ascii="Arial" w:hAnsi="Arial"/>
                <w:sz w:val="17"/>
              </w:rPr>
            </w:r>
            <w:r>
              <w:rPr>
                <w:rFonts w:ascii="Arial" w:hAnsi="Arial"/>
                <w:b w:val="0"/>
                <w:sz w:val="17"/>
              </w:rPr>
              <w:t>7.6.2 NMAC Food Service and Food Processing</w:t>
            </w:r>
          </w:p>
        </w:tc>
        <w:tc>
          <w:tcPr>
            <w:tcW w:type="dxa" w:w="3360"/>
            <w:vAlign w:val="center"/>
          </w:tcPr>
          <w:p>
            <w:pPr>
              <w:spacing w:after="40"/>
            </w:pPr>
            <w:r>
              <w:rPr>
                <w:rFonts w:ascii="Arial" w:hAnsi="Arial"/>
                <w:sz w:val="17"/>
              </w:rPr>
            </w:r>
            <w:r>
              <w:rPr>
                <w:rFonts w:ascii="Arial" w:hAnsi="Arial"/>
                <w:b w:val="0"/>
                <w:sz w:val="17"/>
              </w:rPr>
              <w:t>New Mexico food-service and food-processing rule chapter; includes retail food establishment, mobile food establishment, manufactured food, and related requirements.</w:t>
            </w:r>
          </w:p>
        </w:tc>
        <w:tc>
          <w:tcPr>
            <w:tcW w:type="dxa" w:w="3360"/>
            <w:vAlign w:val="center"/>
          </w:tcPr>
          <w:p>
            <w:pPr>
              <w:spacing w:after="40"/>
            </w:pPr>
            <w:r>
              <w:rPr>
                <w:rFonts w:ascii="Arial" w:hAnsi="Arial"/>
                <w:sz w:val="17"/>
              </w:rPr>
            </w:r>
            <w:r>
              <w:rPr>
                <w:rFonts w:ascii="Arial" w:hAnsi="Arial"/>
                <w:b w:val="0"/>
                <w:sz w:val="17"/>
              </w:rPr>
              <w:t>https://state-rules.com/new-mexico/nmac/7.6.2/</w:t>
            </w:r>
          </w:p>
        </w:tc>
      </w:tr>
      <w:tr>
        <w:tc>
          <w:tcPr>
            <w:tcW w:type="dxa" w:w="3360"/>
            <w:vAlign w:val="center"/>
          </w:tcPr>
          <w:p>
            <w:pPr>
              <w:spacing w:after="40"/>
            </w:pPr>
            <w:r>
              <w:rPr>
                <w:rFonts w:ascii="Arial" w:hAnsi="Arial"/>
                <w:sz w:val="17"/>
              </w:rPr>
            </w:r>
            <w:r>
              <w:rPr>
                <w:rFonts w:ascii="Arial" w:hAnsi="Arial"/>
                <w:b w:val="0"/>
                <w:sz w:val="17"/>
              </w:rPr>
              <w:t>7.6.2.8 NMAC Food Establishments</w:t>
            </w:r>
          </w:p>
        </w:tc>
        <w:tc>
          <w:tcPr>
            <w:tcW w:type="dxa" w:w="3360"/>
            <w:vAlign w:val="center"/>
          </w:tcPr>
          <w:p>
            <w:pPr>
              <w:spacing w:after="40"/>
            </w:pPr>
            <w:r>
              <w:rPr>
                <w:rFonts w:ascii="Arial" w:hAnsi="Arial"/>
                <w:sz w:val="17"/>
              </w:rPr>
            </w:r>
            <w:r>
              <w:rPr>
                <w:rFonts w:ascii="Arial" w:hAnsi="Arial"/>
                <w:b w:val="0"/>
                <w:sz w:val="17"/>
              </w:rPr>
              <w:t>New Mexico food-establishment rule incorporating the 2017 FDA Food Code with state modifications and addressing certified food protection manager/food handler documentation.</w:t>
            </w:r>
          </w:p>
        </w:tc>
        <w:tc>
          <w:tcPr>
            <w:tcW w:type="dxa" w:w="3360"/>
            <w:vAlign w:val="center"/>
          </w:tcPr>
          <w:p>
            <w:pPr>
              <w:spacing w:after="40"/>
            </w:pPr>
            <w:r>
              <w:rPr>
                <w:rFonts w:ascii="Arial" w:hAnsi="Arial"/>
                <w:sz w:val="17"/>
              </w:rPr>
            </w:r>
            <w:r>
              <w:rPr>
                <w:rFonts w:ascii="Arial" w:hAnsi="Arial"/>
                <w:b w:val="0"/>
                <w:sz w:val="17"/>
              </w:rPr>
              <w:t>https://www.law.cornell.edu/regulations/new-mexico/7-6-2-8-NMAC</w:t>
            </w:r>
          </w:p>
        </w:tc>
      </w:tr>
      <w:tr>
        <w:tc>
          <w:tcPr>
            <w:tcW w:type="dxa" w:w="3360"/>
            <w:vAlign w:val="center"/>
          </w:tcPr>
          <w:p>
            <w:pPr>
              <w:spacing w:after="40"/>
            </w:pPr>
            <w:r>
              <w:rPr>
                <w:rFonts w:ascii="Arial" w:hAnsi="Arial"/>
                <w:sz w:val="17"/>
              </w:rPr>
            </w:r>
            <w:r>
              <w:rPr>
                <w:rFonts w:ascii="Arial" w:hAnsi="Arial"/>
                <w:b w:val="0"/>
                <w:sz w:val="17"/>
              </w:rPr>
              <w:t>7.6.2.9 NMAC Mobile Food Establishments</w:t>
            </w:r>
          </w:p>
        </w:tc>
        <w:tc>
          <w:tcPr>
            <w:tcW w:type="dxa" w:w="3360"/>
            <w:vAlign w:val="center"/>
          </w:tcPr>
          <w:p>
            <w:pPr>
              <w:spacing w:after="40"/>
            </w:pPr>
            <w:r>
              <w:rPr>
                <w:rFonts w:ascii="Arial" w:hAnsi="Arial"/>
                <w:sz w:val="17"/>
              </w:rPr>
            </w:r>
            <w:r>
              <w:rPr>
                <w:rFonts w:ascii="Arial" w:hAnsi="Arial"/>
                <w:b w:val="0"/>
                <w:sz w:val="17"/>
              </w:rPr>
              <w:t>New Mexico mobile food establishment requirements for mobile units and related operating controls.</w:t>
            </w:r>
          </w:p>
        </w:tc>
        <w:tc>
          <w:tcPr>
            <w:tcW w:type="dxa" w:w="3360"/>
            <w:vAlign w:val="center"/>
          </w:tcPr>
          <w:p>
            <w:pPr>
              <w:spacing w:after="40"/>
            </w:pPr>
            <w:r>
              <w:rPr>
                <w:rFonts w:ascii="Arial" w:hAnsi="Arial"/>
                <w:sz w:val="17"/>
              </w:rPr>
            </w:r>
            <w:r>
              <w:rPr>
                <w:rFonts w:ascii="Arial" w:hAnsi="Arial"/>
                <w:b w:val="0"/>
                <w:sz w:val="17"/>
              </w:rPr>
              <w:t>https://www.law.cornell.edu/regulations/new-mexico/N-M-Admin-Code-SS-7.6.2.9</w:t>
            </w:r>
          </w:p>
        </w:tc>
      </w:tr>
      <w:tr>
        <w:tc>
          <w:tcPr>
            <w:tcW w:type="dxa" w:w="3360"/>
            <w:vAlign w:val="center"/>
          </w:tcPr>
          <w:p>
            <w:pPr>
              <w:spacing w:after="40"/>
            </w:pPr>
            <w:r>
              <w:rPr>
                <w:rFonts w:ascii="Arial" w:hAnsi="Arial"/>
                <w:sz w:val="17"/>
              </w:rPr>
            </w:r>
            <w:r>
              <w:rPr>
                <w:rFonts w:ascii="Arial" w:hAnsi="Arial"/>
                <w:b w:val="0"/>
                <w:sz w:val="17"/>
              </w:rPr>
              <w:t>7.6.2.11 NMAC Manufactured Food</w:t>
            </w:r>
          </w:p>
        </w:tc>
        <w:tc>
          <w:tcPr>
            <w:tcW w:type="dxa" w:w="3360"/>
            <w:vAlign w:val="center"/>
          </w:tcPr>
          <w:p>
            <w:pPr>
              <w:spacing w:after="40"/>
            </w:pPr>
            <w:r>
              <w:rPr>
                <w:rFonts w:ascii="Arial" w:hAnsi="Arial"/>
                <w:sz w:val="17"/>
              </w:rPr>
            </w:r>
            <w:r>
              <w:rPr>
                <w:rFonts w:ascii="Arial" w:hAnsi="Arial"/>
                <w:b w:val="0"/>
                <w:sz w:val="17"/>
              </w:rPr>
              <w:t>New Mexico manufactured/packaged-food rule context, including packaged food and recall authority.</w:t>
            </w:r>
          </w:p>
        </w:tc>
        <w:tc>
          <w:tcPr>
            <w:tcW w:type="dxa" w:w="3360"/>
            <w:vAlign w:val="center"/>
          </w:tcPr>
          <w:p>
            <w:pPr>
              <w:spacing w:after="40"/>
            </w:pPr>
            <w:r>
              <w:rPr>
                <w:rFonts w:ascii="Arial" w:hAnsi="Arial"/>
                <w:sz w:val="17"/>
              </w:rPr>
            </w:r>
            <w:r>
              <w:rPr>
                <w:rFonts w:ascii="Arial" w:hAnsi="Arial"/>
                <w:b w:val="0"/>
                <w:sz w:val="17"/>
              </w:rPr>
              <w:t>https://www.law.cornell.edu/regulations/new-mexico/N-M-Admin-Code-SS-7.6.2.11</w:t>
            </w:r>
          </w:p>
        </w:tc>
      </w:tr>
      <w:tr>
        <w:tc>
          <w:tcPr>
            <w:tcW w:type="dxa" w:w="3360"/>
            <w:vAlign w:val="center"/>
          </w:tcPr>
          <w:p>
            <w:pPr>
              <w:spacing w:after="40"/>
            </w:pPr>
            <w:r>
              <w:rPr>
                <w:rFonts w:ascii="Arial" w:hAnsi="Arial"/>
                <w:sz w:val="17"/>
              </w:rPr>
            </w:r>
            <w:r>
              <w:rPr>
                <w:rFonts w:ascii="Arial" w:hAnsi="Arial"/>
                <w:b w:val="0"/>
                <w:sz w:val="17"/>
              </w:rPr>
              <w:t>New Mexico Homemade Food Act</w:t>
            </w:r>
          </w:p>
        </w:tc>
        <w:tc>
          <w:tcPr>
            <w:tcW w:type="dxa" w:w="3360"/>
            <w:vAlign w:val="center"/>
          </w:tcPr>
          <w:p>
            <w:pPr>
              <w:spacing w:after="40"/>
            </w:pPr>
            <w:r>
              <w:rPr>
                <w:rFonts w:ascii="Arial" w:hAnsi="Arial"/>
                <w:sz w:val="17"/>
              </w:rPr>
            </w:r>
            <w:r>
              <w:rPr>
                <w:rFonts w:ascii="Arial" w:hAnsi="Arial"/>
                <w:b w:val="0"/>
                <w:sz w:val="17"/>
              </w:rPr>
              <w:t>Limits for homemade food sales; useful to clarify that cottage/home production is not a substitute for commercial kitchen production for restaurant or wholesale use.</w:t>
            </w:r>
          </w:p>
        </w:tc>
        <w:tc>
          <w:tcPr>
            <w:tcW w:type="dxa" w:w="3360"/>
            <w:vAlign w:val="center"/>
          </w:tcPr>
          <w:p>
            <w:pPr>
              <w:spacing w:after="40"/>
            </w:pPr>
            <w:r>
              <w:rPr>
                <w:rFonts w:ascii="Arial" w:hAnsi="Arial"/>
                <w:sz w:val="17"/>
              </w:rPr>
            </w:r>
            <w:r>
              <w:rPr>
                <w:rFonts w:ascii="Arial" w:hAnsi="Arial"/>
                <w:b w:val="0"/>
                <w:sz w:val="17"/>
              </w:rPr>
              <w:t>https://law.justia.com/codes/new-mexico/chapter-25/article-12/section-25-12-3/</w:t>
            </w:r>
          </w:p>
        </w:tc>
      </w:tr>
      <w:tr>
        <w:tc>
          <w:tcPr>
            <w:tcW w:type="dxa" w:w="3360"/>
            <w:vAlign w:val="center"/>
          </w:tcPr>
          <w:p>
            <w:pPr>
              <w:spacing w:after="40"/>
            </w:pPr>
            <w:r>
              <w:rPr>
                <w:rFonts w:ascii="Arial" w:hAnsi="Arial"/>
                <w:sz w:val="17"/>
              </w:rPr>
            </w:r>
            <w:r>
              <w:rPr>
                <w:rFonts w:ascii="Arial" w:hAnsi="Arial"/>
                <w:b w:val="0"/>
                <w:sz w:val="17"/>
              </w:rPr>
              <w:t>NM Taxation and Revenue Business Registration</w:t>
            </w:r>
          </w:p>
        </w:tc>
        <w:tc>
          <w:tcPr>
            <w:tcW w:type="dxa" w:w="3360"/>
            <w:vAlign w:val="center"/>
          </w:tcPr>
          <w:p>
            <w:pPr>
              <w:spacing w:after="40"/>
            </w:pPr>
            <w:r>
              <w:rPr>
                <w:rFonts w:ascii="Arial" w:hAnsi="Arial"/>
                <w:sz w:val="17"/>
              </w:rPr>
            </w:r>
            <w:r>
              <w:rPr>
                <w:rFonts w:ascii="Arial" w:hAnsi="Arial"/>
                <w:b w:val="0"/>
                <w:sz w:val="17"/>
              </w:rPr>
              <w:t>Business registration and gross receipts tax planning reference.</w:t>
            </w:r>
          </w:p>
        </w:tc>
        <w:tc>
          <w:tcPr>
            <w:tcW w:type="dxa" w:w="3360"/>
            <w:vAlign w:val="center"/>
          </w:tcPr>
          <w:p>
            <w:pPr>
              <w:spacing w:after="40"/>
            </w:pPr>
            <w:r>
              <w:rPr>
                <w:rFonts w:ascii="Arial" w:hAnsi="Arial"/>
                <w:sz w:val="17"/>
              </w:rPr>
            </w:r>
            <w:r>
              <w:rPr>
                <w:rFonts w:ascii="Arial" w:hAnsi="Arial"/>
                <w:b w:val="0"/>
                <w:sz w:val="17"/>
              </w:rPr>
              <w:t>https://www.tax.newmexico.gov/businesses/who-must-register-a-business/</w:t>
            </w:r>
          </w:p>
        </w:tc>
      </w:tr>
      <w:tr>
        <w:tc>
          <w:tcPr>
            <w:tcW w:type="dxa" w:w="3360"/>
            <w:vAlign w:val="center"/>
          </w:tcPr>
          <w:p>
            <w:pPr>
              <w:spacing w:after="40"/>
            </w:pPr>
            <w:r>
              <w:rPr>
                <w:rFonts w:ascii="Arial" w:hAnsi="Arial"/>
                <w:sz w:val="17"/>
              </w:rPr>
            </w:r>
            <w:r>
              <w:rPr>
                <w:rFonts w:ascii="Arial" w:hAnsi="Arial"/>
                <w:b w:val="0"/>
                <w:sz w:val="17"/>
              </w:rPr>
              <w:t>Las Cruces Business Registration</w:t>
            </w:r>
          </w:p>
        </w:tc>
        <w:tc>
          <w:tcPr>
            <w:tcW w:type="dxa" w:w="3360"/>
            <w:vAlign w:val="center"/>
          </w:tcPr>
          <w:p>
            <w:pPr>
              <w:spacing w:after="40"/>
            </w:pPr>
            <w:r>
              <w:rPr>
                <w:rFonts w:ascii="Arial" w:hAnsi="Arial"/>
                <w:sz w:val="17"/>
              </w:rPr>
            </w:r>
            <w:r>
              <w:rPr>
                <w:rFonts w:ascii="Arial" w:hAnsi="Arial"/>
                <w:b w:val="0"/>
                <w:sz w:val="17"/>
              </w:rPr>
              <w:t>City business registration reference; CRS/business tax registration generally precedes city registration.</w:t>
            </w:r>
          </w:p>
        </w:tc>
        <w:tc>
          <w:tcPr>
            <w:tcW w:type="dxa" w:w="3360"/>
            <w:vAlign w:val="center"/>
          </w:tcPr>
          <w:p>
            <w:pPr>
              <w:spacing w:after="40"/>
            </w:pPr>
            <w:r>
              <w:rPr>
                <w:rFonts w:ascii="Arial" w:hAnsi="Arial"/>
                <w:sz w:val="17"/>
              </w:rPr>
            </w:r>
            <w:r>
              <w:rPr>
                <w:rFonts w:ascii="Arial" w:hAnsi="Arial"/>
                <w:b w:val="0"/>
                <w:sz w:val="17"/>
              </w:rPr>
              <w:t>https://www.lascruces.org/business-registration/</w:t>
            </w:r>
          </w:p>
        </w:tc>
      </w:tr>
      <w:tr>
        <w:tc>
          <w:tcPr>
            <w:tcW w:type="dxa" w:w="3360"/>
            <w:vAlign w:val="center"/>
          </w:tcPr>
          <w:p>
            <w:pPr>
              <w:spacing w:after="40"/>
            </w:pPr>
            <w:r>
              <w:rPr>
                <w:rFonts w:ascii="Arial" w:hAnsi="Arial"/>
                <w:sz w:val="17"/>
              </w:rPr>
            </w:r>
            <w:r>
              <w:rPr>
                <w:rFonts w:ascii="Arial" w:hAnsi="Arial"/>
                <w:b w:val="0"/>
                <w:sz w:val="17"/>
              </w:rPr>
              <w:t>Realize Las Cruces Development Code</w:t>
            </w:r>
          </w:p>
        </w:tc>
        <w:tc>
          <w:tcPr>
            <w:tcW w:type="dxa" w:w="3360"/>
            <w:vAlign w:val="center"/>
          </w:tcPr>
          <w:p>
            <w:pPr>
              <w:spacing w:after="40"/>
            </w:pPr>
            <w:r>
              <w:rPr>
                <w:rFonts w:ascii="Arial" w:hAnsi="Arial"/>
                <w:sz w:val="17"/>
              </w:rPr>
            </w:r>
            <w:r>
              <w:rPr>
                <w:rFonts w:ascii="Arial" w:hAnsi="Arial"/>
                <w:b w:val="0"/>
                <w:sz w:val="17"/>
              </w:rPr>
              <w:t>Las Cruces 2025 development code/zoning update reference; parcel-level zoning and site approvals must be confirmed.</w:t>
            </w:r>
          </w:p>
        </w:tc>
        <w:tc>
          <w:tcPr>
            <w:tcW w:type="dxa" w:w="3360"/>
            <w:vAlign w:val="center"/>
          </w:tcPr>
          <w:p>
            <w:pPr>
              <w:spacing w:after="40"/>
            </w:pPr>
            <w:r>
              <w:rPr>
                <w:rFonts w:ascii="Arial" w:hAnsi="Arial"/>
                <w:sz w:val="17"/>
              </w:rPr>
            </w:r>
            <w:r>
              <w:rPr>
                <w:rFonts w:ascii="Arial" w:hAnsi="Arial"/>
                <w:b w:val="0"/>
                <w:sz w:val="17"/>
              </w:rPr>
              <w:t>https://lascruces.gov/city-council-approves-realize-las-cruces-development-code/</w:t>
            </w:r>
          </w:p>
        </w:tc>
      </w:tr>
      <w:tr>
        <w:tc>
          <w:tcPr>
            <w:tcW w:type="dxa" w:w="3360"/>
            <w:vAlign w:val="center"/>
          </w:tcPr>
          <w:p>
            <w:pPr>
              <w:spacing w:after="40"/>
            </w:pPr>
            <w:r>
              <w:rPr>
                <w:rFonts w:ascii="Arial" w:hAnsi="Arial"/>
                <w:sz w:val="17"/>
              </w:rPr>
            </w:r>
            <w:r>
              <w:rPr>
                <w:rFonts w:ascii="Arial" w:hAnsi="Arial"/>
                <w:b w:val="0"/>
                <w:sz w:val="17"/>
              </w:rPr>
              <w:t>NM Business Portal Liquor Licenses</w:t>
            </w:r>
          </w:p>
        </w:tc>
        <w:tc>
          <w:tcPr>
            <w:tcW w:type="dxa" w:w="3360"/>
            <w:vAlign w:val="center"/>
          </w:tcPr>
          <w:p>
            <w:pPr>
              <w:spacing w:after="40"/>
            </w:pPr>
            <w:r>
              <w:rPr>
                <w:rFonts w:ascii="Arial" w:hAnsi="Arial"/>
                <w:sz w:val="17"/>
              </w:rPr>
            </w:r>
            <w:r>
              <w:rPr>
                <w:rFonts w:ascii="Arial" w:hAnsi="Arial"/>
                <w:b w:val="0"/>
                <w:sz w:val="17"/>
              </w:rPr>
              <w:t>New Mexico alcohol licensing reference for restaurant, dispenser, winegrower, and event/public celebration license pathways.</w:t>
            </w:r>
          </w:p>
        </w:tc>
        <w:tc>
          <w:tcPr>
            <w:tcW w:type="dxa" w:w="3360"/>
            <w:vAlign w:val="center"/>
          </w:tcPr>
          <w:p>
            <w:pPr>
              <w:spacing w:after="40"/>
            </w:pPr>
            <w:r>
              <w:rPr>
                <w:rFonts w:ascii="Arial" w:hAnsi="Arial"/>
                <w:sz w:val="17"/>
              </w:rPr>
            </w:r>
            <w:r>
              <w:rPr>
                <w:rFonts w:ascii="Arial" w:hAnsi="Arial"/>
                <w:b w:val="0"/>
                <w:sz w:val="17"/>
              </w:rPr>
              <w:t>https://biz.nm.gov/business-navigator/licenses-and-permits/liquor-licenses/</w:t>
            </w:r>
          </w:p>
        </w:tc>
      </w:tr>
      <w:tr>
        <w:tc>
          <w:tcPr>
            <w:tcW w:type="dxa" w:w="3360"/>
            <w:vAlign w:val="center"/>
          </w:tcPr>
          <w:p>
            <w:pPr>
              <w:spacing w:after="40"/>
            </w:pPr>
            <w:r>
              <w:rPr>
                <w:rFonts w:ascii="Arial" w:hAnsi="Arial"/>
                <w:sz w:val="17"/>
              </w:rPr>
            </w:r>
            <w:r>
              <w:rPr>
                <w:rFonts w:ascii="Arial" w:hAnsi="Arial"/>
                <w:b w:val="0"/>
                <w:sz w:val="17"/>
              </w:rPr>
              <w:t>NMSA 60-6A-11 Winegrower License</w:t>
            </w:r>
          </w:p>
        </w:tc>
        <w:tc>
          <w:tcPr>
            <w:tcW w:type="dxa" w:w="3360"/>
            <w:vAlign w:val="center"/>
          </w:tcPr>
          <w:p>
            <w:pPr>
              <w:spacing w:after="40"/>
            </w:pPr>
            <w:r>
              <w:rPr>
                <w:rFonts w:ascii="Arial" w:hAnsi="Arial"/>
                <w:sz w:val="17"/>
              </w:rPr>
            </w:r>
            <w:r>
              <w:rPr>
                <w:rFonts w:ascii="Arial" w:hAnsi="Arial"/>
                <w:b w:val="0"/>
                <w:sz w:val="17"/>
              </w:rPr>
              <w:t>New Mexico statutory reference relevant to wine/cider production and retail questions; final applicability must be confirmed with ABC/RLD and counsel.</w:t>
            </w:r>
          </w:p>
        </w:tc>
        <w:tc>
          <w:tcPr>
            <w:tcW w:type="dxa" w:w="3360"/>
            <w:vAlign w:val="center"/>
          </w:tcPr>
          <w:p>
            <w:pPr>
              <w:spacing w:after="40"/>
            </w:pPr>
            <w:r>
              <w:rPr>
                <w:rFonts w:ascii="Arial" w:hAnsi="Arial"/>
                <w:sz w:val="17"/>
              </w:rPr>
            </w:r>
            <w:r>
              <w:rPr>
                <w:rFonts w:ascii="Arial" w:hAnsi="Arial"/>
                <w:b w:val="0"/>
                <w:sz w:val="17"/>
              </w:rPr>
              <w:t>https://codes.findlaw.com/nm/chapter-60-business-licenses/nm-st-sect-60-6a-11/</w:t>
            </w:r>
          </w:p>
        </w:tc>
      </w:tr>
      <w:tr>
        <w:tc>
          <w:tcPr>
            <w:tcW w:type="dxa" w:w="3360"/>
            <w:vAlign w:val="center"/>
          </w:tcPr>
          <w:p>
            <w:pPr>
              <w:spacing w:after="40"/>
            </w:pPr>
            <w:r>
              <w:rPr>
                <w:rFonts w:ascii="Arial" w:hAnsi="Arial"/>
                <w:sz w:val="17"/>
              </w:rPr>
            </w:r>
            <w:r>
              <w:rPr>
                <w:rFonts w:ascii="Arial" w:hAnsi="Arial"/>
                <w:b w:val="0"/>
                <w:sz w:val="17"/>
              </w:rPr>
              <w:t>NM Workers' Compensation FAQs</w:t>
            </w:r>
          </w:p>
        </w:tc>
        <w:tc>
          <w:tcPr>
            <w:tcW w:type="dxa" w:w="3360"/>
            <w:vAlign w:val="center"/>
          </w:tcPr>
          <w:p>
            <w:pPr>
              <w:spacing w:after="40"/>
            </w:pPr>
            <w:r>
              <w:rPr>
                <w:rFonts w:ascii="Arial" w:hAnsi="Arial"/>
                <w:sz w:val="17"/>
              </w:rPr>
            </w:r>
            <w:r>
              <w:rPr>
                <w:rFonts w:ascii="Arial" w:hAnsi="Arial"/>
                <w:b w:val="0"/>
                <w:sz w:val="17"/>
              </w:rPr>
              <w:t>Employer coverage planning reference; most New Mexico employers with three or more workers must carry workers' compensation coverage, subject to exceptions.</w:t>
            </w:r>
          </w:p>
        </w:tc>
        <w:tc>
          <w:tcPr>
            <w:tcW w:type="dxa" w:w="3360"/>
            <w:vAlign w:val="center"/>
          </w:tcPr>
          <w:p>
            <w:pPr>
              <w:spacing w:after="40"/>
            </w:pPr>
            <w:r>
              <w:rPr>
                <w:rFonts w:ascii="Arial" w:hAnsi="Arial"/>
                <w:sz w:val="17"/>
              </w:rPr>
            </w:r>
            <w:r>
              <w:rPr>
                <w:rFonts w:ascii="Arial" w:hAnsi="Arial"/>
                <w:b w:val="0"/>
                <w:sz w:val="17"/>
              </w:rPr>
              <w:t>https://www.workerscomp.nm.gov/faqs/</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