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1F4E5F"/>
          <w:sz w:val="44"/>
        </w:rPr>
        <w:t>Food Hall Incubator Operations Playbook - Concept to Graduation</w:t>
      </w:r>
    </w:p>
    <w:p>
      <w:pPr>
        <w:jc w:val="center"/>
      </w:pPr>
      <w:r>
        <w:rPr>
          <w:rFonts w:ascii="Arial" w:hAnsi="Arial"/>
          <w:sz w:val="24"/>
        </w:rPr>
        <w:t>Full operating system with New Mexico compliance planning context</w:t>
      </w:r>
    </w:p>
    <w:p>
      <w:pPr>
        <w:spacing w:before="560"/>
        <w:jc w:val="center"/>
      </w:pPr>
      <w:r>
        <w:rPr>
          <w:rFonts w:ascii="Arial" w:hAnsi="Arial"/>
          <w:i/>
          <w:sz w:val="19"/>
        </w:rPr>
        <w:t>Prepared for founder planning, investor/lender review, operations build-out, staff onboarding, and consultant handoff.</w:t>
      </w:r>
    </w:p>
    <w:p>
      <w:r>
        <w:br w:type="page"/>
      </w:r>
    </w:p>
    <w:p>
      <w:pPr>
        <w:pStyle w:val="Heading1"/>
      </w:pPr>
      <w:r>
        <w:t>Program Use Guide</w:t>
      </w:r>
    </w:p>
    <w:p>
      <w:r>
        <w:t>This playbook is for the founder, operations director, incubator director, hall manager, vendor operators, program partners, funders, lenders, and consultants. It explains how the food hall incubator recruits vendors, screens readiness, launches stalls, supports operators, manages daily hall operations, tracks performance, and graduates businesses.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Audience</w:t>
            </w:r>
          </w:p>
        </w:tc>
        <w:tc>
          <w:tcPr>
            <w:tcW w:type="dxa" w:w="3360"/>
            <w:vAlign w:val="center"/>
            <w:shd w:fill="1F4E5F"/>
          </w:tcPr>
          <w:p>
            <w:pPr>
              <w:spacing w:after="40"/>
            </w:pPr>
            <w:r>
              <w:rPr>
                <w:rFonts w:ascii="Arial" w:hAnsi="Arial"/>
                <w:sz w:val="17"/>
              </w:rPr>
            </w:r>
            <w:r>
              <w:rPr>
                <w:rFonts w:ascii="Arial" w:hAnsi="Arial"/>
                <w:b/>
                <w:color w:val="FFFFFF"/>
                <w:sz w:val="17"/>
              </w:rPr>
              <w:t>Primary Use</w:t>
            </w:r>
          </w:p>
        </w:tc>
        <w:tc>
          <w:tcPr>
            <w:tcW w:type="dxa" w:w="3360"/>
            <w:vAlign w:val="center"/>
            <w:shd w:fill="1F4E5F"/>
          </w:tcPr>
          <w:p>
            <w:pPr>
              <w:spacing w:after="40"/>
            </w:pPr>
            <w:r>
              <w:rPr>
                <w:rFonts w:ascii="Arial" w:hAnsi="Arial"/>
                <w:sz w:val="17"/>
              </w:rPr>
            </w:r>
            <w:r>
              <w:rPr>
                <w:rFonts w:ascii="Arial" w:hAnsi="Arial"/>
                <w:b/>
                <w:color w:val="FFFFFF"/>
                <w:sz w:val="17"/>
              </w:rPr>
              <w:t>Decision Supported</w:t>
            </w:r>
          </w:p>
        </w:tc>
      </w:tr>
      <w:tr>
        <w:tc>
          <w:tcPr>
            <w:tcW w:type="dxa" w:w="3360"/>
            <w:vAlign w:val="center"/>
          </w:tcPr>
          <w:p>
            <w:pPr>
              <w:spacing w:after="40"/>
            </w:pPr>
            <w:r>
              <w:rPr>
                <w:rFonts w:ascii="Arial" w:hAnsi="Arial"/>
                <w:sz w:val="17"/>
              </w:rPr>
            </w:r>
            <w:r>
              <w:rPr>
                <w:rFonts w:ascii="Arial" w:hAnsi="Arial"/>
                <w:b w:val="0"/>
                <w:sz w:val="17"/>
              </w:rPr>
              <w:t>Founder / Owner</w:t>
            </w:r>
          </w:p>
        </w:tc>
        <w:tc>
          <w:tcPr>
            <w:tcW w:type="dxa" w:w="3360"/>
            <w:vAlign w:val="center"/>
          </w:tcPr>
          <w:p>
            <w:pPr>
              <w:spacing w:after="40"/>
            </w:pPr>
            <w:r>
              <w:rPr>
                <w:rFonts w:ascii="Arial" w:hAnsi="Arial"/>
                <w:sz w:val="17"/>
              </w:rPr>
            </w:r>
            <w:r>
              <w:rPr>
                <w:rFonts w:ascii="Arial" w:hAnsi="Arial"/>
                <w:b w:val="0"/>
                <w:sz w:val="17"/>
              </w:rPr>
              <w:t>Clarify operating model, funding narrative, staffing, risk, and public outcomes.</w:t>
            </w:r>
          </w:p>
        </w:tc>
        <w:tc>
          <w:tcPr>
            <w:tcW w:type="dxa" w:w="3360"/>
            <w:vAlign w:val="center"/>
          </w:tcPr>
          <w:p>
            <w:pPr>
              <w:spacing w:after="40"/>
            </w:pPr>
            <w:r>
              <w:rPr>
                <w:rFonts w:ascii="Arial" w:hAnsi="Arial"/>
                <w:sz w:val="17"/>
              </w:rPr>
            </w:r>
            <w:r>
              <w:rPr>
                <w:rFonts w:ascii="Arial" w:hAnsi="Arial"/>
                <w:b w:val="0"/>
                <w:sz w:val="17"/>
              </w:rPr>
              <w:t>Capital strategy and launch scope.</w:t>
            </w:r>
          </w:p>
        </w:tc>
      </w:tr>
      <w:tr>
        <w:tc>
          <w:tcPr>
            <w:tcW w:type="dxa" w:w="3360"/>
            <w:vAlign w:val="center"/>
          </w:tcPr>
          <w:p>
            <w:pPr>
              <w:spacing w:after="40"/>
            </w:pPr>
            <w:r>
              <w:rPr>
                <w:rFonts w:ascii="Arial" w:hAnsi="Arial"/>
                <w:sz w:val="17"/>
              </w:rPr>
            </w:r>
            <w:r>
              <w:rPr>
                <w:rFonts w:ascii="Arial" w:hAnsi="Arial"/>
                <w:b w:val="0"/>
                <w:sz w:val="17"/>
              </w:rPr>
              <w:t>Operations Director</w:t>
            </w:r>
          </w:p>
        </w:tc>
        <w:tc>
          <w:tcPr>
            <w:tcW w:type="dxa" w:w="3360"/>
            <w:vAlign w:val="center"/>
          </w:tcPr>
          <w:p>
            <w:pPr>
              <w:spacing w:after="40"/>
            </w:pPr>
            <w:r>
              <w:rPr>
                <w:rFonts w:ascii="Arial" w:hAnsi="Arial"/>
                <w:sz w:val="17"/>
              </w:rPr>
            </w:r>
            <w:r>
              <w:rPr>
                <w:rFonts w:ascii="Arial" w:hAnsi="Arial"/>
                <w:b w:val="0"/>
                <w:sz w:val="17"/>
              </w:rPr>
              <w:t>Translate the model into schedules, SOPs, job roles, vendor rules, and KPIs.</w:t>
            </w:r>
          </w:p>
        </w:tc>
        <w:tc>
          <w:tcPr>
            <w:tcW w:type="dxa" w:w="3360"/>
            <w:vAlign w:val="center"/>
          </w:tcPr>
          <w:p>
            <w:pPr>
              <w:spacing w:after="40"/>
            </w:pPr>
            <w:r>
              <w:rPr>
                <w:rFonts w:ascii="Arial" w:hAnsi="Arial"/>
                <w:sz w:val="17"/>
              </w:rPr>
            </w:r>
            <w:r>
              <w:rPr>
                <w:rFonts w:ascii="Arial" w:hAnsi="Arial"/>
                <w:b w:val="0"/>
                <w:sz w:val="17"/>
              </w:rPr>
              <w:t>Buildout and opening readiness.</w:t>
            </w:r>
          </w:p>
        </w:tc>
      </w:tr>
      <w:tr>
        <w:tc>
          <w:tcPr>
            <w:tcW w:type="dxa" w:w="3360"/>
            <w:vAlign w:val="center"/>
          </w:tcPr>
          <w:p>
            <w:pPr>
              <w:spacing w:after="40"/>
            </w:pPr>
            <w:r>
              <w:rPr>
                <w:rFonts w:ascii="Arial" w:hAnsi="Arial"/>
                <w:sz w:val="17"/>
              </w:rPr>
            </w:r>
            <w:r>
              <w:rPr>
                <w:rFonts w:ascii="Arial" w:hAnsi="Arial"/>
                <w:b w:val="0"/>
                <w:sz w:val="17"/>
              </w:rPr>
              <w:t>Incubator Director</w:t>
            </w:r>
          </w:p>
        </w:tc>
        <w:tc>
          <w:tcPr>
            <w:tcW w:type="dxa" w:w="3360"/>
            <w:vAlign w:val="center"/>
          </w:tcPr>
          <w:p>
            <w:pPr>
              <w:spacing w:after="40"/>
            </w:pPr>
            <w:r>
              <w:rPr>
                <w:rFonts w:ascii="Arial" w:hAnsi="Arial"/>
                <w:sz w:val="17"/>
              </w:rPr>
            </w:r>
            <w:r>
              <w:rPr>
                <w:rFonts w:ascii="Arial" w:hAnsi="Arial"/>
                <w:b w:val="0"/>
                <w:sz w:val="17"/>
              </w:rPr>
              <w:t>Run outreach, selection, academy, mentoring, reviews, improvement plans, and graduation.</w:t>
            </w:r>
          </w:p>
        </w:tc>
        <w:tc>
          <w:tcPr>
            <w:tcW w:type="dxa" w:w="3360"/>
            <w:vAlign w:val="center"/>
          </w:tcPr>
          <w:p>
            <w:pPr>
              <w:spacing w:after="40"/>
            </w:pPr>
            <w:r>
              <w:rPr>
                <w:rFonts w:ascii="Arial" w:hAnsi="Arial"/>
                <w:sz w:val="17"/>
              </w:rPr>
            </w:r>
            <w:r>
              <w:rPr>
                <w:rFonts w:ascii="Arial" w:hAnsi="Arial"/>
                <w:b w:val="0"/>
                <w:sz w:val="17"/>
              </w:rPr>
              <w:t>Vendor lifecycle decisions.</w:t>
            </w:r>
          </w:p>
        </w:tc>
      </w:tr>
      <w:tr>
        <w:tc>
          <w:tcPr>
            <w:tcW w:type="dxa" w:w="3360"/>
            <w:vAlign w:val="center"/>
          </w:tcPr>
          <w:p>
            <w:pPr>
              <w:spacing w:after="40"/>
            </w:pPr>
            <w:r>
              <w:rPr>
                <w:rFonts w:ascii="Arial" w:hAnsi="Arial"/>
                <w:sz w:val="17"/>
              </w:rPr>
            </w:r>
            <w:r>
              <w:rPr>
                <w:rFonts w:ascii="Arial" w:hAnsi="Arial"/>
                <w:b w:val="0"/>
                <w:sz w:val="17"/>
              </w:rPr>
              <w:t>Vendors</w:t>
            </w:r>
          </w:p>
        </w:tc>
        <w:tc>
          <w:tcPr>
            <w:tcW w:type="dxa" w:w="3360"/>
            <w:vAlign w:val="center"/>
          </w:tcPr>
          <w:p>
            <w:pPr>
              <w:spacing w:after="40"/>
            </w:pPr>
            <w:r>
              <w:rPr>
                <w:rFonts w:ascii="Arial" w:hAnsi="Arial"/>
                <w:sz w:val="17"/>
              </w:rPr>
            </w:r>
            <w:r>
              <w:rPr>
                <w:rFonts w:ascii="Arial" w:hAnsi="Arial"/>
                <w:b w:val="0"/>
                <w:sz w:val="17"/>
              </w:rPr>
              <w:t>Understand expectations, support services, compliance, financial reporting, and graduation path.</w:t>
            </w:r>
          </w:p>
        </w:tc>
        <w:tc>
          <w:tcPr>
            <w:tcW w:type="dxa" w:w="3360"/>
            <w:vAlign w:val="center"/>
          </w:tcPr>
          <w:p>
            <w:pPr>
              <w:spacing w:after="40"/>
            </w:pPr>
            <w:r>
              <w:rPr>
                <w:rFonts w:ascii="Arial" w:hAnsi="Arial"/>
                <w:sz w:val="17"/>
              </w:rPr>
            </w:r>
            <w:r>
              <w:rPr>
                <w:rFonts w:ascii="Arial" w:hAnsi="Arial"/>
                <w:b w:val="0"/>
                <w:sz w:val="17"/>
              </w:rPr>
              <w:t>Participation and accountability.</w:t>
            </w:r>
          </w:p>
        </w:tc>
      </w:tr>
      <w:tr>
        <w:tc>
          <w:tcPr>
            <w:tcW w:type="dxa" w:w="3360"/>
            <w:vAlign w:val="center"/>
          </w:tcPr>
          <w:p>
            <w:pPr>
              <w:spacing w:after="40"/>
            </w:pPr>
            <w:r>
              <w:rPr>
                <w:rFonts w:ascii="Arial" w:hAnsi="Arial"/>
                <w:sz w:val="17"/>
              </w:rPr>
            </w:r>
            <w:r>
              <w:rPr>
                <w:rFonts w:ascii="Arial" w:hAnsi="Arial"/>
                <w:b w:val="0"/>
                <w:sz w:val="17"/>
              </w:rPr>
              <w:t>Funders / Lenders</w:t>
            </w:r>
          </w:p>
        </w:tc>
        <w:tc>
          <w:tcPr>
            <w:tcW w:type="dxa" w:w="3360"/>
            <w:vAlign w:val="center"/>
          </w:tcPr>
          <w:p>
            <w:pPr>
              <w:spacing w:after="40"/>
            </w:pPr>
            <w:r>
              <w:rPr>
                <w:rFonts w:ascii="Arial" w:hAnsi="Arial"/>
                <w:sz w:val="17"/>
              </w:rPr>
            </w:r>
            <w:r>
              <w:rPr>
                <w:rFonts w:ascii="Arial" w:hAnsi="Arial"/>
                <w:b w:val="0"/>
                <w:sz w:val="17"/>
              </w:rPr>
              <w:t>Evaluate governance, compliance, revenue logic, community impact, and risk controls.</w:t>
            </w:r>
          </w:p>
        </w:tc>
        <w:tc>
          <w:tcPr>
            <w:tcW w:type="dxa" w:w="3360"/>
            <w:vAlign w:val="center"/>
          </w:tcPr>
          <w:p>
            <w:pPr>
              <w:spacing w:after="40"/>
            </w:pPr>
            <w:r>
              <w:rPr>
                <w:rFonts w:ascii="Arial" w:hAnsi="Arial"/>
                <w:sz w:val="17"/>
              </w:rPr>
            </w:r>
            <w:r>
              <w:rPr>
                <w:rFonts w:ascii="Arial" w:hAnsi="Arial"/>
                <w:b w:val="0"/>
                <w:sz w:val="17"/>
              </w:rPr>
              <w:t>Funding readiness.</w:t>
            </w:r>
          </w:p>
        </w:tc>
      </w:tr>
      <w:tr>
        <w:tc>
          <w:tcPr>
            <w:tcW w:type="dxa" w:w="3360"/>
            <w:vAlign w:val="center"/>
          </w:tcPr>
          <w:p>
            <w:pPr>
              <w:spacing w:after="40"/>
            </w:pPr>
            <w:r>
              <w:rPr>
                <w:rFonts w:ascii="Arial" w:hAnsi="Arial"/>
                <w:sz w:val="17"/>
              </w:rPr>
            </w:r>
            <w:r>
              <w:rPr>
                <w:rFonts w:ascii="Arial" w:hAnsi="Arial"/>
                <w:b w:val="0"/>
                <w:sz w:val="17"/>
              </w:rPr>
              <w:t>Consultants</w:t>
            </w:r>
          </w:p>
        </w:tc>
        <w:tc>
          <w:tcPr>
            <w:tcW w:type="dxa" w:w="3360"/>
            <w:vAlign w:val="center"/>
          </w:tcPr>
          <w:p>
            <w:pPr>
              <w:spacing w:after="40"/>
            </w:pPr>
            <w:r>
              <w:rPr>
                <w:rFonts w:ascii="Arial" w:hAnsi="Arial"/>
                <w:sz w:val="17"/>
              </w:rPr>
            </w:r>
            <w:r>
              <w:rPr>
                <w:rFonts w:ascii="Arial" w:hAnsi="Arial"/>
                <w:b w:val="0"/>
                <w:sz w:val="17"/>
              </w:rPr>
              <w:t>Align design, legal documents, accounting, marketing, and program partnerships.</w:t>
            </w:r>
          </w:p>
        </w:tc>
        <w:tc>
          <w:tcPr>
            <w:tcW w:type="dxa" w:w="3360"/>
            <w:vAlign w:val="center"/>
          </w:tcPr>
          <w:p>
            <w:pPr>
              <w:spacing w:after="40"/>
            </w:pPr>
            <w:r>
              <w:rPr>
                <w:rFonts w:ascii="Arial" w:hAnsi="Arial"/>
                <w:sz w:val="17"/>
              </w:rPr>
            </w:r>
            <w:r>
              <w:rPr>
                <w:rFonts w:ascii="Arial" w:hAnsi="Arial"/>
                <w:b w:val="0"/>
                <w:sz w:val="17"/>
              </w:rPr>
              <w:t>Implementation workplan.</w:t>
            </w:r>
          </w:p>
        </w:tc>
      </w:tr>
    </w:tbl>
    <w:p/>
    <w:p>
      <w:pPr>
        <w:pStyle w:val="Heading1"/>
      </w:pPr>
      <w:r>
        <w:t>New Mexico Compliance Note</w:t>
      </w:r>
    </w:p>
    <w:p>
      <w:r>
        <w:t>This food hall incubator operations playbook is an operations and planning document, not legal advice. New Mexico Environment Department, City of Las Cruces, fire/building officials, New Mexico Regulation and Licensing Department Alcoholic Beverage Control Division, New Mexico Taxation and Revenue, employment agencies, insurers, and applicable professional advisers control final requirements.</w:t>
      </w:r>
    </w:p>
    <w:p>
      <w:r>
        <w:t>The Las Cruces Culinary Hub should treat every regulatory item below as a verification prompt. Exact permit class, plan-review scope, alcohol license pathway, packaged-food approval, zoning status, fees, timelines, and inspection requirements must be confirmed before launch and whenever the facility, menu, production method, retail channel, or event model changes.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Compliance Area</w:t>
            </w:r>
          </w:p>
        </w:tc>
        <w:tc>
          <w:tcPr>
            <w:tcW w:type="dxa" w:w="3360"/>
            <w:vAlign w:val="center"/>
            <w:shd w:fill="1F4E5F"/>
          </w:tcPr>
          <w:p>
            <w:pPr>
              <w:spacing w:after="40"/>
            </w:pPr>
            <w:r>
              <w:rPr>
                <w:rFonts w:ascii="Arial" w:hAnsi="Arial"/>
                <w:sz w:val="17"/>
              </w:rPr>
            </w:r>
            <w:r>
              <w:rPr>
                <w:rFonts w:ascii="Arial" w:hAnsi="Arial"/>
                <w:b/>
                <w:color w:val="FFFFFF"/>
                <w:sz w:val="17"/>
              </w:rPr>
              <w:t>Planning Requirement</w:t>
            </w:r>
          </w:p>
        </w:tc>
        <w:tc>
          <w:tcPr>
            <w:tcW w:type="dxa" w:w="3360"/>
            <w:vAlign w:val="center"/>
            <w:shd w:fill="1F4E5F"/>
          </w:tcPr>
          <w:p>
            <w:pPr>
              <w:spacing w:after="40"/>
            </w:pPr>
            <w:r>
              <w:rPr>
                <w:rFonts w:ascii="Arial" w:hAnsi="Arial"/>
                <w:sz w:val="17"/>
              </w:rPr>
            </w:r>
            <w:r>
              <w:rPr>
                <w:rFonts w:ascii="Arial" w:hAnsi="Arial"/>
                <w:b/>
                <w:color w:val="FFFFFF"/>
                <w:sz w:val="17"/>
              </w:rPr>
              <w:t>Operating Impact</w:t>
            </w:r>
          </w:p>
        </w:tc>
      </w:tr>
      <w:tr>
        <w:tc>
          <w:tcPr>
            <w:tcW w:type="dxa" w:w="3360"/>
            <w:vAlign w:val="center"/>
          </w:tcPr>
          <w:p>
            <w:pPr>
              <w:spacing w:after="40"/>
            </w:pPr>
            <w:r>
              <w:rPr>
                <w:rFonts w:ascii="Arial" w:hAnsi="Arial"/>
                <w:sz w:val="17"/>
              </w:rPr>
            </w:r>
            <w:r>
              <w:rPr>
                <w:rFonts w:ascii="Arial" w:hAnsi="Arial"/>
                <w:b w:val="0"/>
                <w:sz w:val="17"/>
              </w:rPr>
              <w:t>NMED food permits</w:t>
            </w:r>
          </w:p>
        </w:tc>
        <w:tc>
          <w:tcPr>
            <w:tcW w:type="dxa" w:w="3360"/>
            <w:vAlign w:val="center"/>
          </w:tcPr>
          <w:p>
            <w:pPr>
              <w:spacing w:after="40"/>
            </w:pPr>
            <w:r>
              <w:rPr>
                <w:rFonts w:ascii="Arial" w:hAnsi="Arial"/>
                <w:sz w:val="17"/>
              </w:rPr>
            </w:r>
            <w:r>
              <w:rPr>
                <w:rFonts w:ascii="Arial" w:hAnsi="Arial"/>
                <w:b w:val="0"/>
                <w:sz w:val="17"/>
              </w:rPr>
              <w:t>Confirm permit class for each food establishment, shared kitchen, food processor, mobile unit, temporary food event, and vendor stall as applicable.</w:t>
            </w:r>
          </w:p>
        </w:tc>
        <w:tc>
          <w:tcPr>
            <w:tcW w:type="dxa" w:w="3360"/>
            <w:vAlign w:val="center"/>
          </w:tcPr>
          <w:p>
            <w:pPr>
              <w:spacing w:after="40"/>
            </w:pPr>
            <w:r>
              <w:rPr>
                <w:rFonts w:ascii="Arial" w:hAnsi="Arial"/>
                <w:sz w:val="17"/>
              </w:rPr>
            </w:r>
            <w:r>
              <w:rPr>
                <w:rFonts w:ascii="Arial" w:hAnsi="Arial"/>
                <w:b w:val="0"/>
                <w:sz w:val="17"/>
              </w:rPr>
              <w:t>Do not open or expand food operations until the permit path and inspection requirements are confirmed.</w:t>
            </w:r>
          </w:p>
        </w:tc>
      </w:tr>
      <w:tr>
        <w:tc>
          <w:tcPr>
            <w:tcW w:type="dxa" w:w="3360"/>
            <w:vAlign w:val="center"/>
          </w:tcPr>
          <w:p>
            <w:pPr>
              <w:spacing w:after="40"/>
            </w:pPr>
            <w:r>
              <w:rPr>
                <w:rFonts w:ascii="Arial" w:hAnsi="Arial"/>
                <w:sz w:val="17"/>
              </w:rPr>
            </w:r>
            <w:r>
              <w:rPr>
                <w:rFonts w:ascii="Arial" w:hAnsi="Arial"/>
                <w:b w:val="0"/>
                <w:sz w:val="17"/>
              </w:rPr>
              <w:t>Food code / 7.6.2 NMAC</w:t>
            </w:r>
          </w:p>
        </w:tc>
        <w:tc>
          <w:tcPr>
            <w:tcW w:type="dxa" w:w="3360"/>
            <w:vAlign w:val="center"/>
          </w:tcPr>
          <w:p>
            <w:pPr>
              <w:spacing w:after="40"/>
            </w:pPr>
            <w:r>
              <w:rPr>
                <w:rFonts w:ascii="Arial" w:hAnsi="Arial"/>
                <w:sz w:val="17"/>
              </w:rPr>
            </w:r>
            <w:r>
              <w:rPr>
                <w:rFonts w:ascii="Arial" w:hAnsi="Arial"/>
                <w:b w:val="0"/>
                <w:sz w:val="17"/>
              </w:rPr>
              <w:t>New Mexico uses state food rules that incorporate the 2017 FDA Food Code with modifications.</w:t>
            </w:r>
          </w:p>
        </w:tc>
        <w:tc>
          <w:tcPr>
            <w:tcW w:type="dxa" w:w="3360"/>
            <w:vAlign w:val="center"/>
          </w:tcPr>
          <w:p>
            <w:pPr>
              <w:spacing w:after="40"/>
            </w:pPr>
            <w:r>
              <w:rPr>
                <w:rFonts w:ascii="Arial" w:hAnsi="Arial"/>
                <w:sz w:val="17"/>
              </w:rPr>
            </w:r>
            <w:r>
              <w:rPr>
                <w:rFonts w:ascii="Arial" w:hAnsi="Arial"/>
                <w:b w:val="0"/>
                <w:sz w:val="17"/>
              </w:rPr>
              <w:t>Maintain logs, active managerial control, food protection practices, and inspection readiness.</w:t>
            </w:r>
          </w:p>
        </w:tc>
      </w:tr>
      <w:tr>
        <w:tc>
          <w:tcPr>
            <w:tcW w:type="dxa" w:w="3360"/>
            <w:vAlign w:val="center"/>
          </w:tcPr>
          <w:p>
            <w:pPr>
              <w:spacing w:after="40"/>
            </w:pPr>
            <w:r>
              <w:rPr>
                <w:rFonts w:ascii="Arial" w:hAnsi="Arial"/>
                <w:sz w:val="17"/>
              </w:rPr>
            </w:r>
            <w:r>
              <w:rPr>
                <w:rFonts w:ascii="Arial" w:hAnsi="Arial"/>
                <w:b w:val="0"/>
                <w:sz w:val="17"/>
              </w:rPr>
              <w:t>Food handler / CFPM</w:t>
            </w:r>
          </w:p>
        </w:tc>
        <w:tc>
          <w:tcPr>
            <w:tcW w:type="dxa" w:w="3360"/>
            <w:vAlign w:val="center"/>
          </w:tcPr>
          <w:p>
            <w:pPr>
              <w:spacing w:after="40"/>
            </w:pPr>
            <w:r>
              <w:rPr>
                <w:rFonts w:ascii="Arial" w:hAnsi="Arial"/>
                <w:sz w:val="17"/>
              </w:rPr>
            </w:r>
            <w:r>
              <w:rPr>
                <w:rFonts w:ascii="Arial" w:hAnsi="Arial"/>
                <w:b w:val="0"/>
                <w:sz w:val="17"/>
              </w:rPr>
              <w:t>Maintain food handler cards or approved training records and Certified Food Protection Manager records where required.</w:t>
            </w:r>
          </w:p>
        </w:tc>
        <w:tc>
          <w:tcPr>
            <w:tcW w:type="dxa" w:w="3360"/>
            <w:vAlign w:val="center"/>
          </w:tcPr>
          <w:p>
            <w:pPr>
              <w:spacing w:after="40"/>
            </w:pPr>
            <w:r>
              <w:rPr>
                <w:rFonts w:ascii="Arial" w:hAnsi="Arial"/>
                <w:sz w:val="17"/>
              </w:rPr>
            </w:r>
            <w:r>
              <w:rPr>
                <w:rFonts w:ascii="Arial" w:hAnsi="Arial"/>
                <w:b w:val="0"/>
                <w:sz w:val="17"/>
              </w:rPr>
              <w:t>Training files must be available for inspection and vendor onboarding.</w:t>
            </w:r>
          </w:p>
        </w:tc>
      </w:tr>
      <w:tr>
        <w:tc>
          <w:tcPr>
            <w:tcW w:type="dxa" w:w="3360"/>
            <w:vAlign w:val="center"/>
          </w:tcPr>
          <w:p>
            <w:pPr>
              <w:spacing w:after="40"/>
            </w:pPr>
            <w:r>
              <w:rPr>
                <w:rFonts w:ascii="Arial" w:hAnsi="Arial"/>
                <w:sz w:val="17"/>
              </w:rPr>
            </w:r>
            <w:r>
              <w:rPr>
                <w:rFonts w:ascii="Arial" w:hAnsi="Arial"/>
                <w:b w:val="0"/>
                <w:sz w:val="17"/>
              </w:rPr>
              <w:t>Las Cruces business / zoning / building</w:t>
            </w:r>
          </w:p>
        </w:tc>
        <w:tc>
          <w:tcPr>
            <w:tcW w:type="dxa" w:w="3360"/>
            <w:vAlign w:val="center"/>
          </w:tcPr>
          <w:p>
            <w:pPr>
              <w:spacing w:after="40"/>
            </w:pPr>
            <w:r>
              <w:rPr>
                <w:rFonts w:ascii="Arial" w:hAnsi="Arial"/>
                <w:sz w:val="17"/>
              </w:rPr>
            </w:r>
            <w:r>
              <w:rPr>
                <w:rFonts w:ascii="Arial" w:hAnsi="Arial"/>
                <w:b w:val="0"/>
                <w:sz w:val="17"/>
              </w:rPr>
              <w:t>Confirm CRS/business tax registration, city business registration, parcel zoning, building permits, fire review, and development approvals.</w:t>
            </w:r>
          </w:p>
        </w:tc>
        <w:tc>
          <w:tcPr>
            <w:tcW w:type="dxa" w:w="3360"/>
            <w:vAlign w:val="center"/>
          </w:tcPr>
          <w:p>
            <w:pPr>
              <w:spacing w:after="40"/>
            </w:pPr>
            <w:r>
              <w:rPr>
                <w:rFonts w:ascii="Arial" w:hAnsi="Arial"/>
                <w:sz w:val="17"/>
              </w:rPr>
            </w:r>
            <w:r>
              <w:rPr>
                <w:rFonts w:ascii="Arial" w:hAnsi="Arial"/>
                <w:b w:val="0"/>
                <w:sz w:val="17"/>
              </w:rPr>
              <w:t>Site selection and buildout cannot rely on generic food-hall assumptions.</w:t>
            </w:r>
          </w:p>
        </w:tc>
      </w:tr>
      <w:tr>
        <w:tc>
          <w:tcPr>
            <w:tcW w:type="dxa" w:w="3360"/>
            <w:vAlign w:val="center"/>
          </w:tcPr>
          <w:p>
            <w:pPr>
              <w:spacing w:after="40"/>
            </w:pPr>
            <w:r>
              <w:rPr>
                <w:rFonts w:ascii="Arial" w:hAnsi="Arial"/>
                <w:sz w:val="17"/>
              </w:rPr>
            </w:r>
            <w:r>
              <w:rPr>
                <w:rFonts w:ascii="Arial" w:hAnsi="Arial"/>
                <w:b w:val="0"/>
                <w:sz w:val="17"/>
              </w:rPr>
              <w:t>Alcohol/cider</w:t>
            </w:r>
          </w:p>
        </w:tc>
        <w:tc>
          <w:tcPr>
            <w:tcW w:type="dxa" w:w="3360"/>
            <w:vAlign w:val="center"/>
          </w:tcPr>
          <w:p>
            <w:pPr>
              <w:spacing w:after="40"/>
            </w:pPr>
            <w:r>
              <w:rPr>
                <w:rFonts w:ascii="Arial" w:hAnsi="Arial"/>
                <w:sz w:val="17"/>
              </w:rPr>
            </w:r>
            <w:r>
              <w:rPr>
                <w:rFonts w:ascii="Arial" w:hAnsi="Arial"/>
                <w:b w:val="0"/>
                <w:sz w:val="17"/>
              </w:rPr>
              <w:t>Confirm ABC/RLD license class, server requirements, event permissions, and whether winegrower/restaurant/dispenser pathways apply.</w:t>
            </w:r>
          </w:p>
        </w:tc>
        <w:tc>
          <w:tcPr>
            <w:tcW w:type="dxa" w:w="3360"/>
            <w:vAlign w:val="center"/>
          </w:tcPr>
          <w:p>
            <w:pPr>
              <w:spacing w:after="40"/>
            </w:pPr>
            <w:r>
              <w:rPr>
                <w:rFonts w:ascii="Arial" w:hAnsi="Arial"/>
                <w:sz w:val="17"/>
              </w:rPr>
            </w:r>
            <w:r>
              <w:rPr>
                <w:rFonts w:ascii="Arial" w:hAnsi="Arial"/>
                <w:b w:val="0"/>
                <w:sz w:val="17"/>
              </w:rPr>
              <w:t>Cider/bar service must be planned separately from food permits.</w:t>
            </w:r>
          </w:p>
        </w:tc>
      </w:tr>
      <w:tr>
        <w:tc>
          <w:tcPr>
            <w:tcW w:type="dxa" w:w="3360"/>
            <w:vAlign w:val="center"/>
          </w:tcPr>
          <w:p>
            <w:pPr>
              <w:spacing w:after="40"/>
            </w:pPr>
            <w:r>
              <w:rPr>
                <w:rFonts w:ascii="Arial" w:hAnsi="Arial"/>
                <w:sz w:val="17"/>
              </w:rPr>
            </w:r>
            <w:r>
              <w:rPr>
                <w:rFonts w:ascii="Arial" w:hAnsi="Arial"/>
                <w:b w:val="0"/>
                <w:sz w:val="17"/>
              </w:rPr>
              <w:t>Packaged retail / gift shop</w:t>
            </w:r>
          </w:p>
        </w:tc>
        <w:tc>
          <w:tcPr>
            <w:tcW w:type="dxa" w:w="3360"/>
            <w:vAlign w:val="center"/>
          </w:tcPr>
          <w:p>
            <w:pPr>
              <w:spacing w:after="40"/>
            </w:pPr>
            <w:r>
              <w:rPr>
                <w:rFonts w:ascii="Arial" w:hAnsi="Arial"/>
                <w:sz w:val="17"/>
              </w:rPr>
            </w:r>
            <w:r>
              <w:rPr>
                <w:rFonts w:ascii="Arial" w:hAnsi="Arial"/>
                <w:b w:val="0"/>
                <w:sz w:val="17"/>
              </w:rPr>
              <w:t>Confirm manufactured-food, labeling, storage, sales-tax, and vendor product responsibilities.</w:t>
            </w:r>
          </w:p>
        </w:tc>
        <w:tc>
          <w:tcPr>
            <w:tcW w:type="dxa" w:w="3360"/>
            <w:vAlign w:val="center"/>
          </w:tcPr>
          <w:p>
            <w:pPr>
              <w:spacing w:after="40"/>
            </w:pPr>
            <w:r>
              <w:rPr>
                <w:rFonts w:ascii="Arial" w:hAnsi="Arial"/>
                <w:sz w:val="17"/>
              </w:rPr>
            </w:r>
            <w:r>
              <w:rPr>
                <w:rFonts w:ascii="Arial" w:hAnsi="Arial"/>
                <w:b w:val="0"/>
                <w:sz w:val="17"/>
              </w:rPr>
              <w:t>Retail shelf products require documentation, labels, inventory control, and vendor license terms.</w:t>
            </w:r>
          </w:p>
        </w:tc>
      </w:tr>
    </w:tbl>
    <w:p/>
    <w:p>
      <w:pPr>
        <w:pStyle w:val="Heading1"/>
      </w:pPr>
      <w:r>
        <w:t>1. Concept and Program Overview</w:t>
      </w:r>
    </w:p>
    <w:p>
      <w:r>
        <w:t>A food hall incubator is a multi-vendor, customer-facing food business platform that combines stalls, shared infrastructure, business coaching, performance tracking, community programming, and graduation support. It is not simply a food court, and it is not only a back-of-house commissary. The operating model must balance mission and margin: vendors need a lower-risk path, while the hall needs predictable revenue, compliance, quality, and customer draw.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Model</w:t>
            </w:r>
          </w:p>
        </w:tc>
        <w:tc>
          <w:tcPr>
            <w:tcW w:type="dxa" w:w="3360"/>
            <w:vAlign w:val="center"/>
            <w:shd w:fill="1F4E5F"/>
          </w:tcPr>
          <w:p>
            <w:pPr>
              <w:spacing w:after="40"/>
            </w:pPr>
            <w:r>
              <w:rPr>
                <w:rFonts w:ascii="Arial" w:hAnsi="Arial"/>
                <w:sz w:val="17"/>
              </w:rPr>
            </w:r>
            <w:r>
              <w:rPr>
                <w:rFonts w:ascii="Arial" w:hAnsi="Arial"/>
                <w:b/>
                <w:color w:val="FFFFFF"/>
                <w:sz w:val="17"/>
              </w:rPr>
              <w:t>Primary Purpose</w:t>
            </w:r>
          </w:p>
        </w:tc>
        <w:tc>
          <w:tcPr>
            <w:tcW w:type="dxa" w:w="3360"/>
            <w:vAlign w:val="center"/>
            <w:shd w:fill="1F4E5F"/>
          </w:tcPr>
          <w:p>
            <w:pPr>
              <w:spacing w:after="40"/>
            </w:pPr>
            <w:r>
              <w:rPr>
                <w:rFonts w:ascii="Arial" w:hAnsi="Arial"/>
                <w:sz w:val="17"/>
              </w:rPr>
            </w:r>
            <w:r>
              <w:rPr>
                <w:rFonts w:ascii="Arial" w:hAnsi="Arial"/>
                <w:b/>
                <w:color w:val="FFFFFF"/>
                <w:sz w:val="17"/>
              </w:rPr>
              <w:t>What It Does Not Provide by Itself</w:t>
            </w:r>
          </w:p>
        </w:tc>
      </w:tr>
      <w:tr>
        <w:tc>
          <w:tcPr>
            <w:tcW w:type="dxa" w:w="3360"/>
            <w:vAlign w:val="center"/>
          </w:tcPr>
          <w:p>
            <w:pPr>
              <w:spacing w:after="40"/>
            </w:pPr>
            <w:r>
              <w:rPr>
                <w:rFonts w:ascii="Arial" w:hAnsi="Arial"/>
                <w:sz w:val="17"/>
              </w:rPr>
            </w:r>
            <w:r>
              <w:rPr>
                <w:rFonts w:ascii="Arial" w:hAnsi="Arial"/>
                <w:b w:val="0"/>
                <w:sz w:val="17"/>
              </w:rPr>
              <w:t>Standard food hall</w:t>
            </w:r>
          </w:p>
        </w:tc>
        <w:tc>
          <w:tcPr>
            <w:tcW w:type="dxa" w:w="3360"/>
            <w:vAlign w:val="center"/>
          </w:tcPr>
          <w:p>
            <w:pPr>
              <w:spacing w:after="40"/>
            </w:pPr>
            <w:r>
              <w:rPr>
                <w:rFonts w:ascii="Arial" w:hAnsi="Arial"/>
                <w:sz w:val="17"/>
              </w:rPr>
            </w:r>
            <w:r>
              <w:rPr>
                <w:rFonts w:ascii="Arial" w:hAnsi="Arial"/>
                <w:b w:val="0"/>
                <w:sz w:val="17"/>
              </w:rPr>
              <w:t>Curated dining destination with multiple food vendors and shared seating.</w:t>
            </w:r>
          </w:p>
        </w:tc>
        <w:tc>
          <w:tcPr>
            <w:tcW w:type="dxa" w:w="3360"/>
            <w:vAlign w:val="center"/>
          </w:tcPr>
          <w:p>
            <w:pPr>
              <w:spacing w:after="40"/>
            </w:pPr>
            <w:r>
              <w:rPr>
                <w:rFonts w:ascii="Arial" w:hAnsi="Arial"/>
                <w:sz w:val="17"/>
              </w:rPr>
            </w:r>
            <w:r>
              <w:rPr>
                <w:rFonts w:ascii="Arial" w:hAnsi="Arial"/>
                <w:b w:val="0"/>
                <w:sz w:val="17"/>
              </w:rPr>
              <w:t>May not provide structured training, coaching, or graduation pathways.</w:t>
            </w:r>
          </w:p>
        </w:tc>
      </w:tr>
      <w:tr>
        <w:tc>
          <w:tcPr>
            <w:tcW w:type="dxa" w:w="3360"/>
            <w:vAlign w:val="center"/>
          </w:tcPr>
          <w:p>
            <w:pPr>
              <w:spacing w:after="40"/>
            </w:pPr>
            <w:r>
              <w:rPr>
                <w:rFonts w:ascii="Arial" w:hAnsi="Arial"/>
                <w:sz w:val="17"/>
              </w:rPr>
            </w:r>
            <w:r>
              <w:rPr>
                <w:rFonts w:ascii="Arial" w:hAnsi="Arial"/>
                <w:b w:val="0"/>
                <w:sz w:val="17"/>
              </w:rPr>
              <w:t>Shared commissary</w:t>
            </w:r>
          </w:p>
        </w:tc>
        <w:tc>
          <w:tcPr>
            <w:tcW w:type="dxa" w:w="3360"/>
            <w:vAlign w:val="center"/>
          </w:tcPr>
          <w:p>
            <w:pPr>
              <w:spacing w:after="40"/>
            </w:pPr>
            <w:r>
              <w:rPr>
                <w:rFonts w:ascii="Arial" w:hAnsi="Arial"/>
                <w:sz w:val="17"/>
              </w:rPr>
            </w:r>
            <w:r>
              <w:rPr>
                <w:rFonts w:ascii="Arial" w:hAnsi="Arial"/>
                <w:b w:val="0"/>
                <w:sz w:val="17"/>
              </w:rPr>
              <w:t>Licensed production space for caterers, packaged-food makers, trucks, or prep users.</w:t>
            </w:r>
          </w:p>
        </w:tc>
        <w:tc>
          <w:tcPr>
            <w:tcW w:type="dxa" w:w="3360"/>
            <w:vAlign w:val="center"/>
          </w:tcPr>
          <w:p>
            <w:pPr>
              <w:spacing w:after="40"/>
            </w:pPr>
            <w:r>
              <w:rPr>
                <w:rFonts w:ascii="Arial" w:hAnsi="Arial"/>
                <w:sz w:val="17"/>
              </w:rPr>
            </w:r>
            <w:r>
              <w:rPr>
                <w:rFonts w:ascii="Arial" w:hAnsi="Arial"/>
                <w:b w:val="0"/>
                <w:sz w:val="17"/>
              </w:rPr>
              <w:t>Usually does not provide daily customer-facing retail traffic.</w:t>
            </w:r>
          </w:p>
        </w:tc>
      </w:tr>
      <w:tr>
        <w:tc>
          <w:tcPr>
            <w:tcW w:type="dxa" w:w="3360"/>
            <w:vAlign w:val="center"/>
          </w:tcPr>
          <w:p>
            <w:pPr>
              <w:spacing w:after="40"/>
            </w:pPr>
            <w:r>
              <w:rPr>
                <w:rFonts w:ascii="Arial" w:hAnsi="Arial"/>
                <w:sz w:val="17"/>
              </w:rPr>
            </w:r>
            <w:r>
              <w:rPr>
                <w:rFonts w:ascii="Arial" w:hAnsi="Arial"/>
                <w:b w:val="0"/>
                <w:sz w:val="17"/>
              </w:rPr>
              <w:t>Food hall incubator</w:t>
            </w:r>
          </w:p>
        </w:tc>
        <w:tc>
          <w:tcPr>
            <w:tcW w:type="dxa" w:w="3360"/>
            <w:vAlign w:val="center"/>
          </w:tcPr>
          <w:p>
            <w:pPr>
              <w:spacing w:after="40"/>
            </w:pPr>
            <w:r>
              <w:rPr>
                <w:rFonts w:ascii="Arial" w:hAnsi="Arial"/>
                <w:sz w:val="17"/>
              </w:rPr>
            </w:r>
            <w:r>
              <w:rPr>
                <w:rFonts w:ascii="Arial" w:hAnsi="Arial"/>
                <w:b w:val="0"/>
                <w:sz w:val="17"/>
              </w:rPr>
              <w:t>Customer-facing launch platform plus shared infrastructure, coaching, KPIs, and business graduation.</w:t>
            </w:r>
          </w:p>
        </w:tc>
        <w:tc>
          <w:tcPr>
            <w:tcW w:type="dxa" w:w="3360"/>
            <w:vAlign w:val="center"/>
          </w:tcPr>
          <w:p>
            <w:pPr>
              <w:spacing w:after="40"/>
            </w:pPr>
            <w:r>
              <w:rPr>
                <w:rFonts w:ascii="Arial" w:hAnsi="Arial"/>
                <w:sz w:val="17"/>
              </w:rPr>
            </w:r>
            <w:r>
              <w:rPr>
                <w:rFonts w:ascii="Arial" w:hAnsi="Arial"/>
                <w:b w:val="0"/>
                <w:sz w:val="17"/>
              </w:rPr>
              <w:t>Requires stronger governance, vendor support, and performance management than a passive lease model.</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40"/>
            </w:pPr>
            <w:r>
              <w:rPr>
                <w:rFonts w:ascii="Arial" w:hAnsi="Arial"/>
                <w:sz w:val="17"/>
              </w:rPr>
            </w:r>
            <w:r>
              <w:rPr>
                <w:rFonts w:ascii="Arial" w:hAnsi="Arial"/>
                <w:b/>
                <w:color w:val="FFFFFF"/>
                <w:sz w:val="17"/>
              </w:rPr>
              <w:t>Program Goal</w:t>
            </w:r>
          </w:p>
        </w:tc>
        <w:tc>
          <w:tcPr>
            <w:tcW w:type="dxa" w:w="5040"/>
            <w:vAlign w:val="center"/>
            <w:shd w:fill="1F4E5F"/>
          </w:tcPr>
          <w:p>
            <w:pPr>
              <w:spacing w:after="40"/>
            </w:pPr>
            <w:r>
              <w:rPr>
                <w:rFonts w:ascii="Arial" w:hAnsi="Arial"/>
                <w:sz w:val="17"/>
              </w:rPr>
            </w:r>
            <w:r>
              <w:rPr>
                <w:rFonts w:ascii="Arial" w:hAnsi="Arial"/>
                <w:b/>
                <w:color w:val="FFFFFF"/>
                <w:sz w:val="17"/>
              </w:rPr>
              <w:t>Measurement</w:t>
            </w:r>
          </w:p>
        </w:tc>
      </w:tr>
      <w:tr>
        <w:tc>
          <w:tcPr>
            <w:tcW w:type="dxa" w:w="5040"/>
            <w:vAlign w:val="center"/>
          </w:tcPr>
          <w:p>
            <w:pPr>
              <w:spacing w:after="40"/>
            </w:pPr>
            <w:r>
              <w:rPr>
                <w:rFonts w:ascii="Arial" w:hAnsi="Arial"/>
                <w:sz w:val="17"/>
              </w:rPr>
            </w:r>
            <w:r>
              <w:rPr>
                <w:rFonts w:ascii="Arial" w:hAnsi="Arial"/>
                <w:b w:val="0"/>
                <w:sz w:val="17"/>
              </w:rPr>
              <w:t>Support first-time entrepreneurs</w:t>
            </w:r>
          </w:p>
        </w:tc>
        <w:tc>
          <w:tcPr>
            <w:tcW w:type="dxa" w:w="5040"/>
            <w:vAlign w:val="center"/>
          </w:tcPr>
          <w:p>
            <w:pPr>
              <w:spacing w:after="40"/>
            </w:pPr>
            <w:r>
              <w:rPr>
                <w:rFonts w:ascii="Arial" w:hAnsi="Arial"/>
                <w:sz w:val="17"/>
              </w:rPr>
            </w:r>
            <w:r>
              <w:rPr>
                <w:rFonts w:ascii="Arial" w:hAnsi="Arial"/>
                <w:b w:val="0"/>
                <w:sz w:val="17"/>
              </w:rPr>
              <w:t>Number admitted, trained, launched, retained, and graduated.</w:t>
            </w:r>
          </w:p>
        </w:tc>
      </w:tr>
      <w:tr>
        <w:tc>
          <w:tcPr>
            <w:tcW w:type="dxa" w:w="5040"/>
            <w:vAlign w:val="center"/>
          </w:tcPr>
          <w:p>
            <w:pPr>
              <w:spacing w:after="40"/>
            </w:pPr>
            <w:r>
              <w:rPr>
                <w:rFonts w:ascii="Arial" w:hAnsi="Arial"/>
                <w:sz w:val="17"/>
              </w:rPr>
            </w:r>
            <w:r>
              <w:rPr>
                <w:rFonts w:ascii="Arial" w:hAnsi="Arial"/>
                <w:b w:val="0"/>
                <w:sz w:val="17"/>
              </w:rPr>
              <w:t>De-risk startup costs</w:t>
            </w:r>
          </w:p>
        </w:tc>
        <w:tc>
          <w:tcPr>
            <w:tcW w:type="dxa" w:w="5040"/>
            <w:vAlign w:val="center"/>
          </w:tcPr>
          <w:p>
            <w:pPr>
              <w:spacing w:after="40"/>
            </w:pPr>
            <w:r>
              <w:rPr>
                <w:rFonts w:ascii="Arial" w:hAnsi="Arial"/>
                <w:sz w:val="17"/>
              </w:rPr>
            </w:r>
            <w:r>
              <w:rPr>
                <w:rFonts w:ascii="Arial" w:hAnsi="Arial"/>
                <w:b w:val="0"/>
                <w:sz w:val="17"/>
              </w:rPr>
              <w:t>Startup cost avoided versus standalone restaurant buildout.</w:t>
            </w:r>
          </w:p>
        </w:tc>
      </w:tr>
      <w:tr>
        <w:tc>
          <w:tcPr>
            <w:tcW w:type="dxa" w:w="5040"/>
            <w:vAlign w:val="center"/>
          </w:tcPr>
          <w:p>
            <w:pPr>
              <w:spacing w:after="40"/>
            </w:pPr>
            <w:r>
              <w:rPr>
                <w:rFonts w:ascii="Arial" w:hAnsi="Arial"/>
                <w:sz w:val="17"/>
              </w:rPr>
            </w:r>
            <w:r>
              <w:rPr>
                <w:rFonts w:ascii="Arial" w:hAnsi="Arial"/>
                <w:b w:val="0"/>
                <w:sz w:val="17"/>
              </w:rPr>
              <w:t>Generate sustainable NOI</w:t>
            </w:r>
          </w:p>
        </w:tc>
        <w:tc>
          <w:tcPr>
            <w:tcW w:type="dxa" w:w="5040"/>
            <w:vAlign w:val="center"/>
          </w:tcPr>
          <w:p>
            <w:pPr>
              <w:spacing w:after="40"/>
            </w:pPr>
            <w:r>
              <w:rPr>
                <w:rFonts w:ascii="Arial" w:hAnsi="Arial"/>
                <w:sz w:val="17"/>
              </w:rPr>
            </w:r>
            <w:r>
              <w:rPr>
                <w:rFonts w:ascii="Arial" w:hAnsi="Arial"/>
                <w:b w:val="0"/>
                <w:sz w:val="17"/>
              </w:rPr>
              <w:t>Occupancy, license revenue, percentage rent, bar/events/retail revenue, expense control.</w:t>
            </w:r>
          </w:p>
        </w:tc>
      </w:tr>
      <w:tr>
        <w:tc>
          <w:tcPr>
            <w:tcW w:type="dxa" w:w="5040"/>
            <w:vAlign w:val="center"/>
          </w:tcPr>
          <w:p>
            <w:pPr>
              <w:spacing w:after="40"/>
            </w:pPr>
            <w:r>
              <w:rPr>
                <w:rFonts w:ascii="Arial" w:hAnsi="Arial"/>
                <w:sz w:val="17"/>
              </w:rPr>
            </w:r>
            <w:r>
              <w:rPr>
                <w:rFonts w:ascii="Arial" w:hAnsi="Arial"/>
                <w:b w:val="0"/>
                <w:sz w:val="17"/>
              </w:rPr>
              <w:t>Create community impact</w:t>
            </w:r>
          </w:p>
        </w:tc>
        <w:tc>
          <w:tcPr>
            <w:tcW w:type="dxa" w:w="5040"/>
            <w:vAlign w:val="center"/>
          </w:tcPr>
          <w:p>
            <w:pPr>
              <w:spacing w:after="40"/>
            </w:pPr>
            <w:r>
              <w:rPr>
                <w:rFonts w:ascii="Arial" w:hAnsi="Arial"/>
                <w:sz w:val="17"/>
              </w:rPr>
            </w:r>
            <w:r>
              <w:rPr>
                <w:rFonts w:ascii="Arial" w:hAnsi="Arial"/>
                <w:b w:val="0"/>
                <w:sz w:val="17"/>
              </w:rPr>
              <w:t>Jobs, apprenticeships, minority/veteran/immigrant participation, local sourcing, public events.</w:t>
            </w:r>
          </w:p>
        </w:tc>
      </w:tr>
      <w:tr>
        <w:tc>
          <w:tcPr>
            <w:tcW w:type="dxa" w:w="5040"/>
            <w:vAlign w:val="center"/>
          </w:tcPr>
          <w:p>
            <w:pPr>
              <w:spacing w:after="40"/>
            </w:pPr>
            <w:r>
              <w:rPr>
                <w:rFonts w:ascii="Arial" w:hAnsi="Arial"/>
                <w:sz w:val="17"/>
              </w:rPr>
            </w:r>
            <w:r>
              <w:rPr>
                <w:rFonts w:ascii="Arial" w:hAnsi="Arial"/>
                <w:b w:val="0"/>
                <w:sz w:val="17"/>
              </w:rPr>
              <w:t>Build a durable pipeline</w:t>
            </w:r>
          </w:p>
        </w:tc>
        <w:tc>
          <w:tcPr>
            <w:tcW w:type="dxa" w:w="5040"/>
            <w:vAlign w:val="center"/>
          </w:tcPr>
          <w:p>
            <w:pPr>
              <w:spacing w:after="40"/>
            </w:pPr>
            <w:r>
              <w:rPr>
                <w:rFonts w:ascii="Arial" w:hAnsi="Arial"/>
                <w:sz w:val="17"/>
              </w:rPr>
            </w:r>
            <w:r>
              <w:rPr>
                <w:rFonts w:ascii="Arial" w:hAnsi="Arial"/>
                <w:b w:val="0"/>
                <w:sz w:val="17"/>
              </w:rPr>
              <w:t>Qualified vendor waitlist, academy graduates, alumni businesses, backfill speed.</w:t>
            </w:r>
          </w:p>
        </w:tc>
      </w:tr>
    </w:tbl>
    <w:p/>
    <w:p>
      <w:pPr>
        <w:pStyle w:val="Heading2"/>
      </w:pPr>
      <w:r>
        <w:t>1.1 New Mexico Incubator Benchmark - SVEDC</w:t>
      </w:r>
    </w:p>
    <w:p>
      <w:r>
        <w:t>The South Valley Economic Development Center (SVEDC) in Albuquerque is a useful New Mexico benchmark for the Las Cruces Culinary Hub because it combines economic development, commercial kitchen access, food-business incubation, business advising, partner networks, and measurable community outcomes. SVEDC is an initiative of the Rio Grande Community Development Corporation, a 501(c)(3), and was created through a public-private partnership with Bernalillo County. Its public materials describe support for healthy economic development in the South Valley since 2005.</w:t>
      </w:r>
    </w:p>
    <w:p>
      <w:r>
        <w:t>SVEDC's food business incubation structure is especially relevant because it separates early concept validation from later-stage incubation. Its incubation programs are described as a safe environment for new and emerging entrepreneurs, supported by experienced mentors, partner organizations, staff guidance, and facility amenities. Its two named program pathways are Semilla for early-stage entrepreneurs and Mariposa for food-industry businesses that are ready to scale with facility, equipment, and guidance support.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40"/>
            </w:pPr>
            <w:r>
              <w:rPr>
                <w:rFonts w:ascii="Arial" w:hAnsi="Arial"/>
                <w:sz w:val="17"/>
              </w:rPr>
            </w:r>
            <w:r>
              <w:rPr>
                <w:rFonts w:ascii="Arial" w:hAnsi="Arial"/>
                <w:b/>
                <w:color w:val="FFFFFF"/>
                <w:sz w:val="17"/>
              </w:rPr>
              <w:t>SVEDC Detail</w:t>
            </w:r>
          </w:p>
        </w:tc>
        <w:tc>
          <w:tcPr>
            <w:tcW w:type="dxa" w:w="5040"/>
            <w:vAlign w:val="center"/>
            <w:shd w:fill="1F4E5F"/>
          </w:tcPr>
          <w:p>
            <w:pPr>
              <w:spacing w:after="40"/>
            </w:pPr>
            <w:r>
              <w:rPr>
                <w:rFonts w:ascii="Arial" w:hAnsi="Arial"/>
                <w:sz w:val="17"/>
              </w:rPr>
            </w:r>
            <w:r>
              <w:rPr>
                <w:rFonts w:ascii="Arial" w:hAnsi="Arial"/>
                <w:b/>
                <w:color w:val="FFFFFF"/>
                <w:sz w:val="17"/>
              </w:rPr>
              <w:t>Application to Las Cruces Culinary Hub</w:t>
            </w:r>
          </w:p>
        </w:tc>
      </w:tr>
      <w:tr>
        <w:tc>
          <w:tcPr>
            <w:tcW w:type="dxa" w:w="5040"/>
            <w:vAlign w:val="center"/>
          </w:tcPr>
          <w:p>
            <w:pPr>
              <w:spacing w:after="40"/>
            </w:pPr>
            <w:r>
              <w:rPr>
                <w:rFonts w:ascii="Arial" w:hAnsi="Arial"/>
                <w:sz w:val="17"/>
              </w:rPr>
            </w:r>
            <w:r>
              <w:rPr>
                <w:rFonts w:ascii="Arial" w:hAnsi="Arial"/>
                <w:b w:val="0"/>
                <w:sz w:val="17"/>
              </w:rPr>
              <w:t>Economic development mission</w:t>
            </w:r>
          </w:p>
        </w:tc>
        <w:tc>
          <w:tcPr>
            <w:tcW w:type="dxa" w:w="5040"/>
            <w:vAlign w:val="center"/>
          </w:tcPr>
          <w:p>
            <w:pPr>
              <w:spacing w:after="40"/>
            </w:pPr>
            <w:r>
              <w:rPr>
                <w:rFonts w:ascii="Arial" w:hAnsi="Arial"/>
                <w:sz w:val="17"/>
              </w:rPr>
            </w:r>
            <w:r>
              <w:rPr>
                <w:rFonts w:ascii="Arial" w:hAnsi="Arial"/>
                <w:b w:val="0"/>
                <w:sz w:val="17"/>
              </w:rPr>
              <w:t>Frame the Hub as both an operating business and a community economic-development platform.</w:t>
            </w:r>
          </w:p>
        </w:tc>
      </w:tr>
      <w:tr>
        <w:tc>
          <w:tcPr>
            <w:tcW w:type="dxa" w:w="5040"/>
            <w:vAlign w:val="center"/>
          </w:tcPr>
          <w:p>
            <w:pPr>
              <w:spacing w:after="40"/>
            </w:pPr>
            <w:r>
              <w:rPr>
                <w:rFonts w:ascii="Arial" w:hAnsi="Arial"/>
                <w:sz w:val="17"/>
              </w:rPr>
            </w:r>
            <w:r>
              <w:rPr>
                <w:rFonts w:ascii="Arial" w:hAnsi="Arial"/>
                <w:b w:val="0"/>
                <w:sz w:val="17"/>
              </w:rPr>
              <w:t>Public-private nonprofit precedent</w:t>
            </w:r>
          </w:p>
        </w:tc>
        <w:tc>
          <w:tcPr>
            <w:tcW w:type="dxa" w:w="5040"/>
            <w:vAlign w:val="center"/>
          </w:tcPr>
          <w:p>
            <w:pPr>
              <w:spacing w:after="40"/>
            </w:pPr>
            <w:r>
              <w:rPr>
                <w:rFonts w:ascii="Arial" w:hAnsi="Arial"/>
                <w:sz w:val="17"/>
              </w:rPr>
            </w:r>
            <w:r>
              <w:rPr>
                <w:rFonts w:ascii="Arial" w:hAnsi="Arial"/>
                <w:b w:val="0"/>
                <w:sz w:val="17"/>
              </w:rPr>
              <w:t>Use partnerships with city, county, workforce, university, lender, and nonprofit organizations to strengthen grant and sponsor readiness.</w:t>
            </w:r>
          </w:p>
        </w:tc>
      </w:tr>
      <w:tr>
        <w:tc>
          <w:tcPr>
            <w:tcW w:type="dxa" w:w="5040"/>
            <w:vAlign w:val="center"/>
          </w:tcPr>
          <w:p>
            <w:pPr>
              <w:spacing w:after="40"/>
            </w:pPr>
            <w:r>
              <w:rPr>
                <w:rFonts w:ascii="Arial" w:hAnsi="Arial"/>
                <w:sz w:val="17"/>
              </w:rPr>
            </w:r>
            <w:r>
              <w:rPr>
                <w:rFonts w:ascii="Arial" w:hAnsi="Arial"/>
                <w:b w:val="0"/>
                <w:sz w:val="17"/>
              </w:rPr>
              <w:t>Two-stage incubation model</w:t>
            </w:r>
          </w:p>
        </w:tc>
        <w:tc>
          <w:tcPr>
            <w:tcW w:type="dxa" w:w="5040"/>
            <w:vAlign w:val="center"/>
          </w:tcPr>
          <w:p>
            <w:pPr>
              <w:spacing w:after="40"/>
            </w:pPr>
            <w:r>
              <w:rPr>
                <w:rFonts w:ascii="Arial" w:hAnsi="Arial"/>
                <w:sz w:val="17"/>
              </w:rPr>
            </w:r>
            <w:r>
              <w:rPr>
                <w:rFonts w:ascii="Arial" w:hAnsi="Arial"/>
                <w:b w:val="0"/>
                <w:sz w:val="17"/>
              </w:rPr>
              <w:t>Separate concept validation/academy work from full stall placement so vendors are not rushed into occupancy before readiness.</w:t>
            </w:r>
          </w:p>
        </w:tc>
      </w:tr>
      <w:tr>
        <w:tc>
          <w:tcPr>
            <w:tcW w:type="dxa" w:w="5040"/>
            <w:vAlign w:val="center"/>
          </w:tcPr>
          <w:p>
            <w:pPr>
              <w:spacing w:after="40"/>
            </w:pPr>
            <w:r>
              <w:rPr>
                <w:rFonts w:ascii="Arial" w:hAnsi="Arial"/>
                <w:sz w:val="17"/>
              </w:rPr>
            </w:r>
            <w:r>
              <w:rPr>
                <w:rFonts w:ascii="Arial" w:hAnsi="Arial"/>
                <w:b w:val="0"/>
                <w:sz w:val="17"/>
              </w:rPr>
              <w:t>Commercial kitchen access for product testing</w:t>
            </w:r>
          </w:p>
        </w:tc>
        <w:tc>
          <w:tcPr>
            <w:tcW w:type="dxa" w:w="5040"/>
            <w:vAlign w:val="center"/>
          </w:tcPr>
          <w:p>
            <w:pPr>
              <w:spacing w:after="40"/>
            </w:pPr>
            <w:r>
              <w:rPr>
                <w:rFonts w:ascii="Arial" w:hAnsi="Arial"/>
                <w:sz w:val="17"/>
              </w:rPr>
            </w:r>
            <w:r>
              <w:rPr>
                <w:rFonts w:ascii="Arial" w:hAnsi="Arial"/>
                <w:b w:val="0"/>
                <w:sz w:val="17"/>
              </w:rPr>
              <w:t>Use the Hub commissary for testing, pop-ups, packaged-product pilots, and academy assignments before full vendor launch.</w:t>
            </w:r>
          </w:p>
        </w:tc>
      </w:tr>
      <w:tr>
        <w:tc>
          <w:tcPr>
            <w:tcW w:type="dxa" w:w="5040"/>
            <w:vAlign w:val="center"/>
          </w:tcPr>
          <w:p>
            <w:pPr>
              <w:spacing w:after="40"/>
            </w:pPr>
            <w:r>
              <w:rPr>
                <w:rFonts w:ascii="Arial" w:hAnsi="Arial"/>
                <w:sz w:val="17"/>
              </w:rPr>
            </w:r>
            <w:r>
              <w:rPr>
                <w:rFonts w:ascii="Arial" w:hAnsi="Arial"/>
                <w:b w:val="0"/>
                <w:sz w:val="17"/>
              </w:rPr>
              <w:t>Mentors, partner organizations, and staff guidance</w:t>
            </w:r>
          </w:p>
        </w:tc>
        <w:tc>
          <w:tcPr>
            <w:tcW w:type="dxa" w:w="5040"/>
            <w:vAlign w:val="center"/>
          </w:tcPr>
          <w:p>
            <w:pPr>
              <w:spacing w:after="40"/>
            </w:pPr>
            <w:r>
              <w:rPr>
                <w:rFonts w:ascii="Arial" w:hAnsi="Arial"/>
                <w:sz w:val="17"/>
              </w:rPr>
            </w:r>
            <w:r>
              <w:rPr>
                <w:rFonts w:ascii="Arial" w:hAnsi="Arial"/>
                <w:b w:val="0"/>
                <w:sz w:val="17"/>
              </w:rPr>
              <w:t>Build a formal advisor bench rather than relying only on informal founder coaching.</w:t>
            </w:r>
          </w:p>
        </w:tc>
      </w:tr>
      <w:tr>
        <w:tc>
          <w:tcPr>
            <w:tcW w:type="dxa" w:w="5040"/>
            <w:vAlign w:val="center"/>
          </w:tcPr>
          <w:p>
            <w:pPr>
              <w:spacing w:after="40"/>
            </w:pPr>
            <w:r>
              <w:rPr>
                <w:rFonts w:ascii="Arial" w:hAnsi="Arial"/>
                <w:sz w:val="17"/>
              </w:rPr>
            </w:r>
            <w:r>
              <w:rPr>
                <w:rFonts w:ascii="Arial" w:hAnsi="Arial"/>
                <w:b w:val="0"/>
                <w:sz w:val="17"/>
              </w:rPr>
              <w:t>Business directory / local product support</w:t>
            </w:r>
          </w:p>
        </w:tc>
        <w:tc>
          <w:tcPr>
            <w:tcW w:type="dxa" w:w="5040"/>
            <w:vAlign w:val="center"/>
          </w:tcPr>
          <w:p>
            <w:pPr>
              <w:spacing w:after="40"/>
            </w:pPr>
            <w:r>
              <w:rPr>
                <w:rFonts w:ascii="Arial" w:hAnsi="Arial"/>
                <w:sz w:val="17"/>
              </w:rPr>
            </w:r>
            <w:r>
              <w:rPr>
                <w:rFonts w:ascii="Arial" w:hAnsi="Arial"/>
                <w:b w:val="0"/>
                <w:sz w:val="17"/>
              </w:rPr>
              <w:t>Create an alumni/vendor directory and retail shelf strategy to keep graduates visible after stall exit.</w:t>
            </w:r>
          </w:p>
        </w:tc>
      </w:tr>
      <w:tr>
        <w:tc>
          <w:tcPr>
            <w:tcW w:type="dxa" w:w="5040"/>
            <w:vAlign w:val="center"/>
          </w:tcPr>
          <w:p>
            <w:pPr>
              <w:spacing w:after="40"/>
            </w:pPr>
            <w:r>
              <w:rPr>
                <w:rFonts w:ascii="Arial" w:hAnsi="Arial"/>
                <w:sz w:val="17"/>
              </w:rPr>
            </w:r>
            <w:r>
              <w:rPr>
                <w:rFonts w:ascii="Arial" w:hAnsi="Arial"/>
                <w:b w:val="0"/>
                <w:sz w:val="17"/>
              </w:rPr>
              <w:t>Impact metrics</w:t>
            </w:r>
          </w:p>
        </w:tc>
        <w:tc>
          <w:tcPr>
            <w:tcW w:type="dxa" w:w="5040"/>
            <w:vAlign w:val="center"/>
          </w:tcPr>
          <w:p>
            <w:pPr>
              <w:spacing w:after="40"/>
            </w:pPr>
            <w:r>
              <w:rPr>
                <w:rFonts w:ascii="Arial" w:hAnsi="Arial"/>
                <w:sz w:val="17"/>
              </w:rPr>
            </w:r>
            <w:r>
              <w:rPr>
                <w:rFonts w:ascii="Arial" w:hAnsi="Arial"/>
                <w:b w:val="0"/>
                <w:sz w:val="17"/>
              </w:rPr>
              <w:t>Track jobs, revenue, local purchases, women-owned/minority-owned businesses, clients, companies, and facility usage.</w:t>
            </w:r>
          </w:p>
        </w:tc>
      </w:tr>
    </w:tbl>
    <w:p/>
    <w:p>
      <w:pPr>
        <w:pStyle w:val="Heading1"/>
      </w:pPr>
      <w:r>
        <w:t>2. Facility and Operating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Element</w:t>
            </w:r>
          </w:p>
        </w:tc>
        <w:tc>
          <w:tcPr>
            <w:tcW w:type="dxa" w:w="3360"/>
            <w:vAlign w:val="center"/>
            <w:shd w:fill="1F4E5F"/>
          </w:tcPr>
          <w:p>
            <w:pPr>
              <w:spacing w:after="40"/>
            </w:pPr>
            <w:r>
              <w:rPr>
                <w:rFonts w:ascii="Arial" w:hAnsi="Arial"/>
                <w:sz w:val="17"/>
              </w:rPr>
            </w:r>
            <w:r>
              <w:rPr>
                <w:rFonts w:ascii="Arial" w:hAnsi="Arial"/>
                <w:b/>
                <w:color w:val="FFFFFF"/>
                <w:sz w:val="17"/>
              </w:rPr>
              <w:t>Function</w:t>
            </w:r>
          </w:p>
        </w:tc>
        <w:tc>
          <w:tcPr>
            <w:tcW w:type="dxa" w:w="3360"/>
            <w:vAlign w:val="center"/>
            <w:shd w:fill="1F4E5F"/>
          </w:tcPr>
          <w:p>
            <w:pPr>
              <w:spacing w:after="40"/>
            </w:pPr>
            <w:r>
              <w:rPr>
                <w:rFonts w:ascii="Arial" w:hAnsi="Arial"/>
                <w:sz w:val="17"/>
              </w:rPr>
            </w:r>
            <w:r>
              <w:rPr>
                <w:rFonts w:ascii="Arial" w:hAnsi="Arial"/>
                <w:b/>
                <w:color w:val="FFFFFF"/>
                <w:sz w:val="17"/>
              </w:rPr>
              <w:t>Operating Requirements</w:t>
            </w:r>
          </w:p>
        </w:tc>
      </w:tr>
      <w:tr>
        <w:tc>
          <w:tcPr>
            <w:tcW w:type="dxa" w:w="3360"/>
            <w:vAlign w:val="center"/>
          </w:tcPr>
          <w:p>
            <w:pPr>
              <w:spacing w:after="40"/>
            </w:pPr>
            <w:r>
              <w:rPr>
                <w:rFonts w:ascii="Arial" w:hAnsi="Arial"/>
                <w:sz w:val="17"/>
              </w:rPr>
            </w:r>
            <w:r>
              <w:rPr>
                <w:rFonts w:ascii="Arial" w:hAnsi="Arial"/>
                <w:b w:val="0"/>
                <w:sz w:val="17"/>
              </w:rPr>
              <w:t>Permanent anchor stalls</w:t>
            </w:r>
          </w:p>
        </w:tc>
        <w:tc>
          <w:tcPr>
            <w:tcW w:type="dxa" w:w="3360"/>
            <w:vAlign w:val="center"/>
          </w:tcPr>
          <w:p>
            <w:pPr>
              <w:spacing w:after="40"/>
            </w:pPr>
            <w:r>
              <w:rPr>
                <w:rFonts w:ascii="Arial" w:hAnsi="Arial"/>
                <w:sz w:val="17"/>
              </w:rPr>
            </w:r>
            <w:r>
              <w:rPr>
                <w:rFonts w:ascii="Arial" w:hAnsi="Arial"/>
                <w:b w:val="0"/>
                <w:sz w:val="17"/>
              </w:rPr>
              <w:t>Stable traffic and revenue base.</w:t>
            </w:r>
          </w:p>
        </w:tc>
        <w:tc>
          <w:tcPr>
            <w:tcW w:type="dxa" w:w="3360"/>
            <w:vAlign w:val="center"/>
          </w:tcPr>
          <w:p>
            <w:pPr>
              <w:spacing w:after="40"/>
            </w:pPr>
            <w:r>
              <w:rPr>
                <w:rFonts w:ascii="Arial" w:hAnsi="Arial"/>
                <w:sz w:val="17"/>
              </w:rPr>
            </w:r>
            <w:r>
              <w:rPr>
                <w:rFonts w:ascii="Arial" w:hAnsi="Arial"/>
                <w:b w:val="0"/>
                <w:sz w:val="17"/>
              </w:rPr>
              <w:t>Longer license terms, stronger financial readiness, mentor expectations.</w:t>
            </w:r>
          </w:p>
        </w:tc>
      </w:tr>
      <w:tr>
        <w:tc>
          <w:tcPr>
            <w:tcW w:type="dxa" w:w="3360"/>
            <w:vAlign w:val="center"/>
          </w:tcPr>
          <w:p>
            <w:pPr>
              <w:spacing w:after="40"/>
            </w:pPr>
            <w:r>
              <w:rPr>
                <w:rFonts w:ascii="Arial" w:hAnsi="Arial"/>
                <w:sz w:val="17"/>
              </w:rPr>
            </w:r>
            <w:r>
              <w:rPr>
                <w:rFonts w:ascii="Arial" w:hAnsi="Arial"/>
                <w:b w:val="0"/>
                <w:sz w:val="17"/>
              </w:rPr>
              <w:t>Incubator stalls</w:t>
            </w:r>
          </w:p>
        </w:tc>
        <w:tc>
          <w:tcPr>
            <w:tcW w:type="dxa" w:w="3360"/>
            <w:vAlign w:val="center"/>
          </w:tcPr>
          <w:p>
            <w:pPr>
              <w:spacing w:after="40"/>
            </w:pPr>
            <w:r>
              <w:rPr>
                <w:rFonts w:ascii="Arial" w:hAnsi="Arial"/>
                <w:sz w:val="17"/>
              </w:rPr>
            </w:r>
            <w:r>
              <w:rPr>
                <w:rFonts w:ascii="Arial" w:hAnsi="Arial"/>
                <w:b w:val="0"/>
                <w:sz w:val="17"/>
              </w:rPr>
              <w:t>Lower-barrier customer-facing launch spaces.</w:t>
            </w:r>
          </w:p>
        </w:tc>
        <w:tc>
          <w:tcPr>
            <w:tcW w:type="dxa" w:w="3360"/>
            <w:vAlign w:val="center"/>
          </w:tcPr>
          <w:p>
            <w:pPr>
              <w:spacing w:after="40"/>
            </w:pPr>
            <w:r>
              <w:rPr>
                <w:rFonts w:ascii="Arial" w:hAnsi="Arial"/>
                <w:sz w:val="17"/>
              </w:rPr>
            </w:r>
            <w:r>
              <w:rPr>
                <w:rFonts w:ascii="Arial" w:hAnsi="Arial"/>
                <w:b w:val="0"/>
                <w:sz w:val="17"/>
              </w:rPr>
              <w:t>12-18 month terms, coaching, KPI reviews, graduation criteria.</w:t>
            </w:r>
          </w:p>
        </w:tc>
      </w:tr>
      <w:tr>
        <w:tc>
          <w:tcPr>
            <w:tcW w:type="dxa" w:w="3360"/>
            <w:vAlign w:val="center"/>
          </w:tcPr>
          <w:p>
            <w:pPr>
              <w:spacing w:after="40"/>
            </w:pPr>
            <w:r>
              <w:rPr>
                <w:rFonts w:ascii="Arial" w:hAnsi="Arial"/>
                <w:sz w:val="17"/>
              </w:rPr>
            </w:r>
            <w:r>
              <w:rPr>
                <w:rFonts w:ascii="Arial" w:hAnsi="Arial"/>
                <w:b w:val="0"/>
                <w:sz w:val="17"/>
              </w:rPr>
              <w:t>Ghost kitchens</w:t>
            </w:r>
          </w:p>
        </w:tc>
        <w:tc>
          <w:tcPr>
            <w:tcW w:type="dxa" w:w="3360"/>
            <w:vAlign w:val="center"/>
          </w:tcPr>
          <w:p>
            <w:pPr>
              <w:spacing w:after="40"/>
            </w:pPr>
            <w:r>
              <w:rPr>
                <w:rFonts w:ascii="Arial" w:hAnsi="Arial"/>
                <w:sz w:val="17"/>
              </w:rPr>
            </w:r>
            <w:r>
              <w:rPr>
                <w:rFonts w:ascii="Arial" w:hAnsi="Arial"/>
                <w:b w:val="0"/>
                <w:sz w:val="17"/>
              </w:rPr>
              <w:t>Delivery, catering, prep, or proof-of-concept production.</w:t>
            </w:r>
          </w:p>
        </w:tc>
        <w:tc>
          <w:tcPr>
            <w:tcW w:type="dxa" w:w="3360"/>
            <w:vAlign w:val="center"/>
          </w:tcPr>
          <w:p>
            <w:pPr>
              <w:spacing w:after="40"/>
            </w:pPr>
            <w:r>
              <w:rPr>
                <w:rFonts w:ascii="Arial" w:hAnsi="Arial"/>
                <w:sz w:val="17"/>
              </w:rPr>
            </w:r>
            <w:r>
              <w:rPr>
                <w:rFonts w:ascii="Arial" w:hAnsi="Arial"/>
                <w:b w:val="0"/>
                <w:sz w:val="17"/>
              </w:rPr>
              <w:t>Scheduling, sales reporting, packaging, delivery-platform rules.</w:t>
            </w:r>
          </w:p>
        </w:tc>
      </w:tr>
      <w:tr>
        <w:tc>
          <w:tcPr>
            <w:tcW w:type="dxa" w:w="3360"/>
            <w:vAlign w:val="center"/>
          </w:tcPr>
          <w:p>
            <w:pPr>
              <w:spacing w:after="40"/>
            </w:pPr>
            <w:r>
              <w:rPr>
                <w:rFonts w:ascii="Arial" w:hAnsi="Arial"/>
                <w:sz w:val="17"/>
              </w:rPr>
            </w:r>
            <w:r>
              <w:rPr>
                <w:rFonts w:ascii="Arial" w:hAnsi="Arial"/>
                <w:b w:val="0"/>
                <w:sz w:val="17"/>
              </w:rPr>
              <w:t>Shared commissary</w:t>
            </w:r>
          </w:p>
        </w:tc>
        <w:tc>
          <w:tcPr>
            <w:tcW w:type="dxa" w:w="3360"/>
            <w:vAlign w:val="center"/>
          </w:tcPr>
          <w:p>
            <w:pPr>
              <w:spacing w:after="40"/>
            </w:pPr>
            <w:r>
              <w:rPr>
                <w:rFonts w:ascii="Arial" w:hAnsi="Arial"/>
                <w:sz w:val="17"/>
              </w:rPr>
            </w:r>
            <w:r>
              <w:rPr>
                <w:rFonts w:ascii="Arial" w:hAnsi="Arial"/>
                <w:b w:val="0"/>
                <w:sz w:val="17"/>
              </w:rPr>
              <w:t>Batch prep, academy training, classes, retail product prep, catering.</w:t>
            </w:r>
          </w:p>
        </w:tc>
        <w:tc>
          <w:tcPr>
            <w:tcW w:type="dxa" w:w="3360"/>
            <w:vAlign w:val="center"/>
          </w:tcPr>
          <w:p>
            <w:pPr>
              <w:spacing w:after="40"/>
            </w:pPr>
            <w:r>
              <w:rPr>
                <w:rFonts w:ascii="Arial" w:hAnsi="Arial"/>
                <w:sz w:val="17"/>
              </w:rPr>
            </w:r>
            <w:r>
              <w:rPr>
                <w:rFonts w:ascii="Arial" w:hAnsi="Arial"/>
                <w:b w:val="0"/>
                <w:sz w:val="17"/>
              </w:rPr>
              <w:t>User calendar, cleaning verification, storage allocation, NMED review.</w:t>
            </w:r>
          </w:p>
        </w:tc>
      </w:tr>
      <w:tr>
        <w:tc>
          <w:tcPr>
            <w:tcW w:type="dxa" w:w="3360"/>
            <w:vAlign w:val="center"/>
          </w:tcPr>
          <w:p>
            <w:pPr>
              <w:spacing w:after="40"/>
            </w:pPr>
            <w:r>
              <w:rPr>
                <w:rFonts w:ascii="Arial" w:hAnsi="Arial"/>
                <w:sz w:val="17"/>
              </w:rPr>
            </w:r>
            <w:r>
              <w:rPr>
                <w:rFonts w:ascii="Arial" w:hAnsi="Arial"/>
                <w:b w:val="0"/>
                <w:sz w:val="17"/>
              </w:rPr>
              <w:t>Storage</w:t>
            </w:r>
          </w:p>
        </w:tc>
        <w:tc>
          <w:tcPr>
            <w:tcW w:type="dxa" w:w="3360"/>
            <w:vAlign w:val="center"/>
          </w:tcPr>
          <w:p>
            <w:pPr>
              <w:spacing w:after="40"/>
            </w:pPr>
            <w:r>
              <w:rPr>
                <w:rFonts w:ascii="Arial" w:hAnsi="Arial"/>
                <w:sz w:val="17"/>
              </w:rPr>
            </w:r>
            <w:r>
              <w:rPr>
                <w:rFonts w:ascii="Arial" w:hAnsi="Arial"/>
                <w:b w:val="0"/>
                <w:sz w:val="17"/>
              </w:rPr>
              <w:t>Vendor-specific dry/cold/frozen/retail inventory control.</w:t>
            </w:r>
          </w:p>
        </w:tc>
        <w:tc>
          <w:tcPr>
            <w:tcW w:type="dxa" w:w="3360"/>
            <w:vAlign w:val="center"/>
          </w:tcPr>
          <w:p>
            <w:pPr>
              <w:spacing w:after="40"/>
            </w:pPr>
            <w:r>
              <w:rPr>
                <w:rFonts w:ascii="Arial" w:hAnsi="Arial"/>
                <w:sz w:val="17"/>
              </w:rPr>
            </w:r>
            <w:r>
              <w:rPr>
                <w:rFonts w:ascii="Arial" w:hAnsi="Arial"/>
                <w:b w:val="0"/>
                <w:sz w:val="17"/>
              </w:rPr>
              <w:t>Assigned space, labels, lockable options, abandoned product policy.</w:t>
            </w:r>
          </w:p>
        </w:tc>
      </w:tr>
      <w:tr>
        <w:tc>
          <w:tcPr>
            <w:tcW w:type="dxa" w:w="3360"/>
            <w:vAlign w:val="center"/>
          </w:tcPr>
          <w:p>
            <w:pPr>
              <w:spacing w:after="40"/>
            </w:pPr>
            <w:r>
              <w:rPr>
                <w:rFonts w:ascii="Arial" w:hAnsi="Arial"/>
                <w:sz w:val="17"/>
              </w:rPr>
            </w:r>
            <w:r>
              <w:rPr>
                <w:rFonts w:ascii="Arial" w:hAnsi="Arial"/>
                <w:b w:val="0"/>
                <w:sz w:val="17"/>
              </w:rPr>
              <w:t>Central bar/cider program</w:t>
            </w:r>
          </w:p>
        </w:tc>
        <w:tc>
          <w:tcPr>
            <w:tcW w:type="dxa" w:w="3360"/>
            <w:vAlign w:val="center"/>
          </w:tcPr>
          <w:p>
            <w:pPr>
              <w:spacing w:after="40"/>
            </w:pPr>
            <w:r>
              <w:rPr>
                <w:rFonts w:ascii="Arial" w:hAnsi="Arial"/>
                <w:sz w:val="17"/>
              </w:rPr>
            </w:r>
            <w:r>
              <w:rPr>
                <w:rFonts w:ascii="Arial" w:hAnsi="Arial"/>
                <w:b w:val="0"/>
                <w:sz w:val="17"/>
              </w:rPr>
              <w:t>Shared revenue, destination identity, event anchor.</w:t>
            </w:r>
          </w:p>
        </w:tc>
        <w:tc>
          <w:tcPr>
            <w:tcW w:type="dxa" w:w="3360"/>
            <w:vAlign w:val="center"/>
          </w:tcPr>
          <w:p>
            <w:pPr>
              <w:spacing w:after="40"/>
            </w:pPr>
            <w:r>
              <w:rPr>
                <w:rFonts w:ascii="Arial" w:hAnsi="Arial"/>
                <w:sz w:val="17"/>
              </w:rPr>
            </w:r>
            <w:r>
              <w:rPr>
                <w:rFonts w:ascii="Arial" w:hAnsi="Arial"/>
                <w:b w:val="0"/>
                <w:sz w:val="17"/>
              </w:rPr>
              <w:t>ABC/RLD licensing, alcohol server training, inventory, age verification.</w:t>
            </w:r>
          </w:p>
        </w:tc>
      </w:tr>
      <w:tr>
        <w:tc>
          <w:tcPr>
            <w:tcW w:type="dxa" w:w="3360"/>
            <w:vAlign w:val="center"/>
          </w:tcPr>
          <w:p>
            <w:pPr>
              <w:spacing w:after="40"/>
            </w:pPr>
            <w:r>
              <w:rPr>
                <w:rFonts w:ascii="Arial" w:hAnsi="Arial"/>
                <w:sz w:val="17"/>
              </w:rPr>
            </w:r>
            <w:r>
              <w:rPr>
                <w:rFonts w:ascii="Arial" w:hAnsi="Arial"/>
                <w:b w:val="0"/>
                <w:sz w:val="17"/>
              </w:rPr>
              <w:t>Gift shop / retail shelf</w:t>
            </w:r>
          </w:p>
        </w:tc>
        <w:tc>
          <w:tcPr>
            <w:tcW w:type="dxa" w:w="3360"/>
            <w:vAlign w:val="center"/>
          </w:tcPr>
          <w:p>
            <w:pPr>
              <w:spacing w:after="40"/>
            </w:pPr>
            <w:r>
              <w:rPr>
                <w:rFonts w:ascii="Arial" w:hAnsi="Arial"/>
                <w:sz w:val="17"/>
              </w:rPr>
            </w:r>
            <w:r>
              <w:rPr>
                <w:rFonts w:ascii="Arial" w:hAnsi="Arial"/>
                <w:b w:val="0"/>
                <w:sz w:val="17"/>
              </w:rPr>
              <w:t>Packaged-product testing and visitor add-on sales.</w:t>
            </w:r>
          </w:p>
        </w:tc>
        <w:tc>
          <w:tcPr>
            <w:tcW w:type="dxa" w:w="3360"/>
            <w:vAlign w:val="center"/>
          </w:tcPr>
          <w:p>
            <w:pPr>
              <w:spacing w:after="40"/>
            </w:pPr>
            <w:r>
              <w:rPr>
                <w:rFonts w:ascii="Arial" w:hAnsi="Arial"/>
                <w:sz w:val="17"/>
              </w:rPr>
            </w:r>
            <w:r>
              <w:rPr>
                <w:rFonts w:ascii="Arial" w:hAnsi="Arial"/>
                <w:b w:val="0"/>
                <w:sz w:val="17"/>
              </w:rPr>
              <w:t>Retail addendum, labels, product liability, POS reporting, recall contacts.</w:t>
            </w:r>
          </w:p>
        </w:tc>
      </w:tr>
      <w:tr>
        <w:tc>
          <w:tcPr>
            <w:tcW w:type="dxa" w:w="3360"/>
            <w:vAlign w:val="center"/>
          </w:tcPr>
          <w:p>
            <w:pPr>
              <w:spacing w:after="40"/>
            </w:pPr>
            <w:r>
              <w:rPr>
                <w:rFonts w:ascii="Arial" w:hAnsi="Arial"/>
                <w:sz w:val="17"/>
              </w:rPr>
            </w:r>
            <w:r>
              <w:rPr>
                <w:rFonts w:ascii="Arial" w:hAnsi="Arial"/>
                <w:b w:val="0"/>
                <w:sz w:val="17"/>
              </w:rPr>
              <w:t>Event space</w:t>
            </w:r>
          </w:p>
        </w:tc>
        <w:tc>
          <w:tcPr>
            <w:tcW w:type="dxa" w:w="3360"/>
            <w:vAlign w:val="center"/>
          </w:tcPr>
          <w:p>
            <w:pPr>
              <w:spacing w:after="40"/>
            </w:pPr>
            <w:r>
              <w:rPr>
                <w:rFonts w:ascii="Arial" w:hAnsi="Arial"/>
                <w:sz w:val="17"/>
              </w:rPr>
            </w:r>
            <w:r>
              <w:rPr>
                <w:rFonts w:ascii="Arial" w:hAnsi="Arial"/>
                <w:b w:val="0"/>
                <w:sz w:val="17"/>
              </w:rPr>
              <w:t>Programming, pop-ups, sponsor activations, community gatherings.</w:t>
            </w:r>
          </w:p>
        </w:tc>
        <w:tc>
          <w:tcPr>
            <w:tcW w:type="dxa" w:w="3360"/>
            <w:vAlign w:val="center"/>
          </w:tcPr>
          <w:p>
            <w:pPr>
              <w:spacing w:after="40"/>
            </w:pPr>
            <w:r>
              <w:rPr>
                <w:rFonts w:ascii="Arial" w:hAnsi="Arial"/>
                <w:sz w:val="17"/>
              </w:rPr>
            </w:r>
            <w:r>
              <w:rPr>
                <w:rFonts w:ascii="Arial" w:hAnsi="Arial"/>
                <w:b w:val="0"/>
                <w:sz w:val="17"/>
              </w:rPr>
              <w:t>Event calendar, staffing, permits, cleaning, security, temporary food rules.</w:t>
            </w:r>
          </w:p>
        </w:tc>
      </w:tr>
      <w:tr>
        <w:tc>
          <w:tcPr>
            <w:tcW w:type="dxa" w:w="3360"/>
            <w:vAlign w:val="center"/>
          </w:tcPr>
          <w:p>
            <w:pPr>
              <w:spacing w:after="40"/>
            </w:pPr>
            <w:r>
              <w:rPr>
                <w:rFonts w:ascii="Arial" w:hAnsi="Arial"/>
                <w:sz w:val="17"/>
              </w:rPr>
            </w:r>
            <w:r>
              <w:rPr>
                <w:rFonts w:ascii="Arial" w:hAnsi="Arial"/>
                <w:b w:val="0"/>
                <w:sz w:val="17"/>
              </w:rPr>
              <w:t>Mobile/food truck phase</w:t>
            </w:r>
          </w:p>
        </w:tc>
        <w:tc>
          <w:tcPr>
            <w:tcW w:type="dxa" w:w="3360"/>
            <w:vAlign w:val="center"/>
          </w:tcPr>
          <w:p>
            <w:pPr>
              <w:spacing w:after="40"/>
            </w:pPr>
            <w:r>
              <w:rPr>
                <w:rFonts w:ascii="Arial" w:hAnsi="Arial"/>
                <w:sz w:val="17"/>
              </w:rPr>
            </w:r>
            <w:r>
              <w:rPr>
                <w:rFonts w:ascii="Arial" w:hAnsi="Arial"/>
                <w:b w:val="0"/>
                <w:sz w:val="17"/>
              </w:rPr>
              <w:t>Lower-capital proof path before full indoor buildout.</w:t>
            </w:r>
          </w:p>
        </w:tc>
        <w:tc>
          <w:tcPr>
            <w:tcW w:type="dxa" w:w="3360"/>
            <w:vAlign w:val="center"/>
          </w:tcPr>
          <w:p>
            <w:pPr>
              <w:spacing w:after="40"/>
            </w:pPr>
            <w:r>
              <w:rPr>
                <w:rFonts w:ascii="Arial" w:hAnsi="Arial"/>
                <w:sz w:val="17"/>
              </w:rPr>
            </w:r>
            <w:r>
              <w:rPr>
                <w:rFonts w:ascii="Arial" w:hAnsi="Arial"/>
                <w:b w:val="0"/>
                <w:sz w:val="17"/>
              </w:rPr>
              <w:t>Mobile food permit path, toilet access, utilities, waste, site permission.</w:t>
            </w:r>
          </w:p>
        </w:tc>
      </w:tr>
    </w:tbl>
    <w:p/>
    <w:p>
      <w:pPr>
        <w:pStyle w:val="Heading2"/>
      </w:pPr>
      <w:r>
        <w:t>2.1 Phased Launch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Phase</w:t>
            </w:r>
          </w:p>
        </w:tc>
        <w:tc>
          <w:tcPr>
            <w:tcW w:type="dxa" w:w="3360"/>
            <w:vAlign w:val="center"/>
            <w:shd w:fill="1F4E5F"/>
          </w:tcPr>
          <w:p>
            <w:pPr>
              <w:spacing w:after="40"/>
            </w:pPr>
            <w:r>
              <w:rPr>
                <w:rFonts w:ascii="Arial" w:hAnsi="Arial"/>
                <w:sz w:val="17"/>
              </w:rPr>
            </w:r>
            <w:r>
              <w:rPr>
                <w:rFonts w:ascii="Arial" w:hAnsi="Arial"/>
                <w:b/>
                <w:color w:val="FFFFFF"/>
                <w:sz w:val="17"/>
              </w:rPr>
              <w:t>Operating Format</w:t>
            </w:r>
          </w:p>
        </w:tc>
        <w:tc>
          <w:tcPr>
            <w:tcW w:type="dxa" w:w="3360"/>
            <w:vAlign w:val="center"/>
            <w:shd w:fill="1F4E5F"/>
          </w:tcPr>
          <w:p>
            <w:pPr>
              <w:spacing w:after="40"/>
            </w:pPr>
            <w:r>
              <w:rPr>
                <w:rFonts w:ascii="Arial" w:hAnsi="Arial"/>
                <w:sz w:val="17"/>
              </w:rPr>
            </w:r>
            <w:r>
              <w:rPr>
                <w:rFonts w:ascii="Arial" w:hAnsi="Arial"/>
                <w:b/>
                <w:color w:val="FFFFFF"/>
                <w:sz w:val="17"/>
              </w:rPr>
              <w:t>Purpose</w:t>
            </w:r>
          </w:p>
        </w:tc>
      </w:tr>
      <w:tr>
        <w:tc>
          <w:tcPr>
            <w:tcW w:type="dxa" w:w="3360"/>
            <w:vAlign w:val="center"/>
          </w:tcPr>
          <w:p>
            <w:pPr>
              <w:spacing w:after="40"/>
            </w:pPr>
            <w:r>
              <w:rPr>
                <w:rFonts w:ascii="Arial" w:hAnsi="Arial"/>
                <w:sz w:val="17"/>
              </w:rPr>
            </w:r>
            <w:r>
              <w:rPr>
                <w:rFonts w:ascii="Arial" w:hAnsi="Arial"/>
                <w:b w:val="0"/>
                <w:sz w:val="17"/>
              </w:rPr>
              <w:t>Proof-first</w:t>
            </w:r>
          </w:p>
        </w:tc>
        <w:tc>
          <w:tcPr>
            <w:tcW w:type="dxa" w:w="3360"/>
            <w:vAlign w:val="center"/>
          </w:tcPr>
          <w:p>
            <w:pPr>
              <w:spacing w:after="40"/>
            </w:pPr>
            <w:r>
              <w:rPr>
                <w:rFonts w:ascii="Arial" w:hAnsi="Arial"/>
                <w:sz w:val="17"/>
              </w:rPr>
            </w:r>
            <w:r>
              <w:rPr>
                <w:rFonts w:ascii="Arial" w:hAnsi="Arial"/>
                <w:b w:val="0"/>
                <w:sz w:val="17"/>
              </w:rPr>
              <w:t>Pop-up events, market tables, limited vendor tastings, sponsor previews.</w:t>
            </w:r>
          </w:p>
        </w:tc>
        <w:tc>
          <w:tcPr>
            <w:tcW w:type="dxa" w:w="3360"/>
            <w:vAlign w:val="center"/>
          </w:tcPr>
          <w:p>
            <w:pPr>
              <w:spacing w:after="40"/>
            </w:pPr>
            <w:r>
              <w:rPr>
                <w:rFonts w:ascii="Arial" w:hAnsi="Arial"/>
                <w:sz w:val="17"/>
              </w:rPr>
            </w:r>
            <w:r>
              <w:rPr>
                <w:rFonts w:ascii="Arial" w:hAnsi="Arial"/>
                <w:b w:val="0"/>
                <w:sz w:val="17"/>
              </w:rPr>
              <w:t>Validate demand and vendor performance before construction risk.</w:t>
            </w:r>
          </w:p>
        </w:tc>
      </w:tr>
      <w:tr>
        <w:tc>
          <w:tcPr>
            <w:tcW w:type="dxa" w:w="3360"/>
            <w:vAlign w:val="center"/>
          </w:tcPr>
          <w:p>
            <w:pPr>
              <w:spacing w:after="40"/>
            </w:pPr>
            <w:r>
              <w:rPr>
                <w:rFonts w:ascii="Arial" w:hAnsi="Arial"/>
                <w:sz w:val="17"/>
              </w:rPr>
            </w:r>
            <w:r>
              <w:rPr>
                <w:rFonts w:ascii="Arial" w:hAnsi="Arial"/>
                <w:b w:val="0"/>
                <w:sz w:val="17"/>
              </w:rPr>
              <w:t>Outdoor/mobile phase</w:t>
            </w:r>
          </w:p>
        </w:tc>
        <w:tc>
          <w:tcPr>
            <w:tcW w:type="dxa" w:w="3360"/>
            <w:vAlign w:val="center"/>
          </w:tcPr>
          <w:p>
            <w:pPr>
              <w:spacing w:after="40"/>
            </w:pPr>
            <w:r>
              <w:rPr>
                <w:rFonts w:ascii="Arial" w:hAnsi="Arial"/>
                <w:sz w:val="17"/>
              </w:rPr>
            </w:r>
            <w:r>
              <w:rPr>
                <w:rFonts w:ascii="Arial" w:hAnsi="Arial"/>
                <w:b w:val="0"/>
                <w:sz w:val="17"/>
              </w:rPr>
              <w:t>Food truck court, cider/event pad where legally permitted, retail table, ticketed events.</w:t>
            </w:r>
          </w:p>
        </w:tc>
        <w:tc>
          <w:tcPr>
            <w:tcW w:type="dxa" w:w="3360"/>
            <w:vAlign w:val="center"/>
          </w:tcPr>
          <w:p>
            <w:pPr>
              <w:spacing w:after="40"/>
            </w:pPr>
            <w:r>
              <w:rPr>
                <w:rFonts w:ascii="Arial" w:hAnsi="Arial"/>
                <w:sz w:val="17"/>
              </w:rPr>
            </w:r>
            <w:r>
              <w:rPr>
                <w:rFonts w:ascii="Arial" w:hAnsi="Arial"/>
                <w:b w:val="0"/>
                <w:sz w:val="17"/>
              </w:rPr>
              <w:t>Generate data and revenue with lower fixed costs.</w:t>
            </w:r>
          </w:p>
        </w:tc>
      </w:tr>
      <w:tr>
        <w:tc>
          <w:tcPr>
            <w:tcW w:type="dxa" w:w="3360"/>
            <w:vAlign w:val="center"/>
          </w:tcPr>
          <w:p>
            <w:pPr>
              <w:spacing w:after="40"/>
            </w:pPr>
            <w:r>
              <w:rPr>
                <w:rFonts w:ascii="Arial" w:hAnsi="Arial"/>
                <w:sz w:val="17"/>
              </w:rPr>
            </w:r>
            <w:r>
              <w:rPr>
                <w:rFonts w:ascii="Arial" w:hAnsi="Arial"/>
                <w:b w:val="0"/>
                <w:sz w:val="17"/>
              </w:rPr>
              <w:t>Indoor incubator launch</w:t>
            </w:r>
          </w:p>
        </w:tc>
        <w:tc>
          <w:tcPr>
            <w:tcW w:type="dxa" w:w="3360"/>
            <w:vAlign w:val="center"/>
          </w:tcPr>
          <w:p>
            <w:pPr>
              <w:spacing w:after="40"/>
            </w:pPr>
            <w:r>
              <w:rPr>
                <w:rFonts w:ascii="Arial" w:hAnsi="Arial"/>
                <w:sz w:val="17"/>
              </w:rPr>
            </w:r>
            <w:r>
              <w:rPr>
                <w:rFonts w:ascii="Arial" w:hAnsi="Arial"/>
                <w:b w:val="0"/>
                <w:sz w:val="17"/>
              </w:rPr>
              <w:t>Permanent and incubator stalls, shared seating, commissary, gift shop, bar if licensed.</w:t>
            </w:r>
          </w:p>
        </w:tc>
        <w:tc>
          <w:tcPr>
            <w:tcW w:type="dxa" w:w="3360"/>
            <w:vAlign w:val="center"/>
          </w:tcPr>
          <w:p>
            <w:pPr>
              <w:spacing w:after="40"/>
            </w:pPr>
            <w:r>
              <w:rPr>
                <w:rFonts w:ascii="Arial" w:hAnsi="Arial"/>
                <w:sz w:val="17"/>
              </w:rPr>
            </w:r>
            <w:r>
              <w:rPr>
                <w:rFonts w:ascii="Arial" w:hAnsi="Arial"/>
                <w:b w:val="0"/>
                <w:sz w:val="17"/>
              </w:rPr>
              <w:t>Open full customer-facing model.</w:t>
            </w:r>
          </w:p>
        </w:tc>
      </w:tr>
      <w:tr>
        <w:tc>
          <w:tcPr>
            <w:tcW w:type="dxa" w:w="3360"/>
            <w:vAlign w:val="center"/>
          </w:tcPr>
          <w:p>
            <w:pPr>
              <w:spacing w:after="40"/>
            </w:pPr>
            <w:r>
              <w:rPr>
                <w:rFonts w:ascii="Arial" w:hAnsi="Arial"/>
                <w:sz w:val="17"/>
              </w:rPr>
            </w:r>
            <w:r>
              <w:rPr>
                <w:rFonts w:ascii="Arial" w:hAnsi="Arial"/>
                <w:b w:val="0"/>
                <w:sz w:val="17"/>
              </w:rPr>
              <w:t>Stabilization</w:t>
            </w:r>
          </w:p>
        </w:tc>
        <w:tc>
          <w:tcPr>
            <w:tcW w:type="dxa" w:w="3360"/>
            <w:vAlign w:val="center"/>
          </w:tcPr>
          <w:p>
            <w:pPr>
              <w:spacing w:after="40"/>
            </w:pPr>
            <w:r>
              <w:rPr>
                <w:rFonts w:ascii="Arial" w:hAnsi="Arial"/>
                <w:sz w:val="17"/>
              </w:rPr>
            </w:r>
            <w:r>
              <w:rPr>
                <w:rFonts w:ascii="Arial" w:hAnsi="Arial"/>
                <w:b w:val="0"/>
                <w:sz w:val="17"/>
              </w:rPr>
              <w:t>Monthly vendor reviews, event rhythm, retail shelf testing, training cadence.</w:t>
            </w:r>
          </w:p>
        </w:tc>
        <w:tc>
          <w:tcPr>
            <w:tcW w:type="dxa" w:w="3360"/>
            <w:vAlign w:val="center"/>
          </w:tcPr>
          <w:p>
            <w:pPr>
              <w:spacing w:after="40"/>
            </w:pPr>
            <w:r>
              <w:rPr>
                <w:rFonts w:ascii="Arial" w:hAnsi="Arial"/>
                <w:sz w:val="17"/>
              </w:rPr>
            </w:r>
            <w:r>
              <w:rPr>
                <w:rFonts w:ascii="Arial" w:hAnsi="Arial"/>
                <w:b w:val="0"/>
                <w:sz w:val="17"/>
              </w:rPr>
              <w:t>Reach reliable operations and financial reporting.</w:t>
            </w:r>
          </w:p>
        </w:tc>
      </w:tr>
      <w:tr>
        <w:tc>
          <w:tcPr>
            <w:tcW w:type="dxa" w:w="3360"/>
            <w:vAlign w:val="center"/>
          </w:tcPr>
          <w:p>
            <w:pPr>
              <w:spacing w:after="40"/>
            </w:pPr>
            <w:r>
              <w:rPr>
                <w:rFonts w:ascii="Arial" w:hAnsi="Arial"/>
                <w:sz w:val="17"/>
              </w:rPr>
            </w:r>
            <w:r>
              <w:rPr>
                <w:rFonts w:ascii="Arial" w:hAnsi="Arial"/>
                <w:b w:val="0"/>
                <w:sz w:val="17"/>
              </w:rPr>
              <w:t>Graduation/alumni</w:t>
            </w:r>
          </w:p>
        </w:tc>
        <w:tc>
          <w:tcPr>
            <w:tcW w:type="dxa" w:w="3360"/>
            <w:vAlign w:val="center"/>
          </w:tcPr>
          <w:p>
            <w:pPr>
              <w:spacing w:after="40"/>
            </w:pPr>
            <w:r>
              <w:rPr>
                <w:rFonts w:ascii="Arial" w:hAnsi="Arial"/>
                <w:sz w:val="17"/>
              </w:rPr>
            </w:r>
            <w:r>
              <w:rPr>
                <w:rFonts w:ascii="Arial" w:hAnsi="Arial"/>
                <w:b w:val="0"/>
                <w:sz w:val="17"/>
              </w:rPr>
              <w:t>Permanent stall upgrades, independent launches, trucks, packaged products, alumni retail.</w:t>
            </w:r>
          </w:p>
        </w:tc>
        <w:tc>
          <w:tcPr>
            <w:tcW w:type="dxa" w:w="3360"/>
            <w:vAlign w:val="center"/>
          </w:tcPr>
          <w:p>
            <w:pPr>
              <w:spacing w:after="40"/>
            </w:pPr>
            <w:r>
              <w:rPr>
                <w:rFonts w:ascii="Arial" w:hAnsi="Arial"/>
                <w:sz w:val="17"/>
              </w:rPr>
            </w:r>
            <w:r>
              <w:rPr>
                <w:rFonts w:ascii="Arial" w:hAnsi="Arial"/>
                <w:b w:val="0"/>
                <w:sz w:val="17"/>
              </w:rPr>
              <w:t>Prove public impact and replenish pipeline.</w:t>
            </w:r>
          </w:p>
        </w:tc>
      </w:tr>
    </w:tbl>
    <w:p/>
    <w:p>
      <w:pPr>
        <w:pStyle w:val="Heading2"/>
      </w:pPr>
      <w:r>
        <w:t>2.2 Pricing and Revenue Governance</w:t>
      </w:r>
    </w:p>
    <w:p>
      <w:pPr>
        <w:pStyle w:val="ListBullet"/>
      </w:pPr>
      <w:r>
        <w:t>License fees should be affordable enough for vendors but high enough to support facility operations.</w:t>
      </w:r>
    </w:p>
    <w:p>
      <w:pPr>
        <w:pStyle w:val="ListBullet"/>
      </w:pPr>
      <w:r>
        <w:t>Percentage rent requires reliable POS reporting, clear definition of gross sales, audit rights, and payment deadlines.</w:t>
      </w:r>
    </w:p>
    <w:p>
      <w:pPr>
        <w:pStyle w:val="ListBullet"/>
      </w:pPr>
      <w:r>
        <w:t>Subsidies, grants, or sponsor support should be documented so discounted vendor terms do not hide operating losses.</w:t>
      </w:r>
    </w:p>
    <w:p>
      <w:pPr>
        <w:pStyle w:val="ListBullet"/>
      </w:pPr>
      <w:r>
        <w:t>Retail shelf and gift shop revenue must specify whether items are wholesale, consignment, commission, or revenue share.</w:t>
      </w:r>
    </w:p>
    <w:p>
      <w:pPr>
        <w:pStyle w:val="ListBullet"/>
      </w:pPr>
      <w:r>
        <w:t>Event revenue should separate hall revenue, vendor sales, bar sales, sponsor funds, and ticket revenue.</w:t>
      </w:r>
    </w:p>
    <w:p>
      <w:pPr>
        <w:pStyle w:val="Heading1"/>
      </w:pPr>
      <w:r>
        <w:t>3. Vendor Lifecycle - Step by Step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40"/>
            </w:pPr>
            <w:r>
              <w:rPr>
                <w:rFonts w:ascii="Arial" w:hAnsi="Arial"/>
                <w:sz w:val="17"/>
              </w:rPr>
            </w:r>
            <w:r>
              <w:rPr>
                <w:rFonts w:ascii="Arial" w:hAnsi="Arial"/>
                <w:b/>
                <w:color w:val="FFFFFF"/>
                <w:sz w:val="17"/>
              </w:rPr>
              <w:t>Stage</w:t>
            </w:r>
          </w:p>
        </w:tc>
        <w:tc>
          <w:tcPr>
            <w:tcW w:type="dxa" w:w="2520"/>
            <w:vAlign w:val="center"/>
            <w:shd w:fill="1F4E5F"/>
          </w:tcPr>
          <w:p>
            <w:pPr>
              <w:spacing w:after="40"/>
            </w:pPr>
            <w:r>
              <w:rPr>
                <w:rFonts w:ascii="Arial" w:hAnsi="Arial"/>
                <w:sz w:val="17"/>
              </w:rPr>
            </w:r>
            <w:r>
              <w:rPr>
                <w:rFonts w:ascii="Arial" w:hAnsi="Arial"/>
                <w:b/>
                <w:color w:val="FFFFFF"/>
                <w:sz w:val="17"/>
              </w:rPr>
              <w:t>Owner</w:t>
            </w:r>
          </w:p>
        </w:tc>
        <w:tc>
          <w:tcPr>
            <w:tcW w:type="dxa" w:w="2520"/>
            <w:vAlign w:val="center"/>
            <w:shd w:fill="1F4E5F"/>
          </w:tcPr>
          <w:p>
            <w:pPr>
              <w:spacing w:after="40"/>
            </w:pPr>
            <w:r>
              <w:rPr>
                <w:rFonts w:ascii="Arial" w:hAnsi="Arial"/>
                <w:sz w:val="17"/>
              </w:rPr>
            </w:r>
            <w:r>
              <w:rPr>
                <w:rFonts w:ascii="Arial" w:hAnsi="Arial"/>
                <w:b/>
                <w:color w:val="FFFFFF"/>
                <w:sz w:val="17"/>
              </w:rPr>
              <w:t>Required Documents</w:t>
            </w:r>
          </w:p>
        </w:tc>
        <w:tc>
          <w:tcPr>
            <w:tcW w:type="dxa" w:w="2520"/>
            <w:vAlign w:val="center"/>
            <w:shd w:fill="1F4E5F"/>
          </w:tcPr>
          <w:p>
            <w:pPr>
              <w:spacing w:after="40"/>
            </w:pPr>
            <w:r>
              <w:rPr>
                <w:rFonts w:ascii="Arial" w:hAnsi="Arial"/>
                <w:sz w:val="17"/>
              </w:rPr>
            </w:r>
            <w:r>
              <w:rPr>
                <w:rFonts w:ascii="Arial" w:hAnsi="Arial"/>
                <w:b/>
                <w:color w:val="FFFFFF"/>
                <w:sz w:val="17"/>
              </w:rPr>
              <w:t>Decision Gate</w:t>
            </w:r>
          </w:p>
        </w:tc>
      </w:tr>
      <w:tr>
        <w:tc>
          <w:tcPr>
            <w:tcW w:type="dxa" w:w="2520"/>
            <w:vAlign w:val="center"/>
          </w:tcPr>
          <w:p>
            <w:pPr>
              <w:spacing w:after="40"/>
            </w:pPr>
            <w:r>
              <w:rPr>
                <w:rFonts w:ascii="Arial" w:hAnsi="Arial"/>
                <w:sz w:val="17"/>
              </w:rPr>
            </w:r>
            <w:r>
              <w:rPr>
                <w:rFonts w:ascii="Arial" w:hAnsi="Arial"/>
                <w:b w:val="0"/>
                <w:sz w:val="17"/>
              </w:rPr>
              <w:t>Outreach</w:t>
            </w:r>
          </w:p>
        </w:tc>
        <w:tc>
          <w:tcPr>
            <w:tcW w:type="dxa" w:w="2520"/>
            <w:vAlign w:val="center"/>
          </w:tcPr>
          <w:p>
            <w:pPr>
              <w:spacing w:after="40"/>
            </w:pPr>
            <w:r>
              <w:rPr>
                <w:rFonts w:ascii="Arial" w:hAnsi="Arial"/>
                <w:sz w:val="17"/>
              </w:rPr>
            </w:r>
            <w:r>
              <w:rPr>
                <w:rFonts w:ascii="Arial" w:hAnsi="Arial"/>
                <w:b w:val="0"/>
                <w:sz w:val="17"/>
              </w:rPr>
              <w:t>Program Coordinator</w:t>
            </w:r>
          </w:p>
        </w:tc>
        <w:tc>
          <w:tcPr>
            <w:tcW w:type="dxa" w:w="2520"/>
            <w:vAlign w:val="center"/>
          </w:tcPr>
          <w:p>
            <w:pPr>
              <w:spacing w:after="40"/>
            </w:pPr>
            <w:r>
              <w:rPr>
                <w:rFonts w:ascii="Arial" w:hAnsi="Arial"/>
                <w:sz w:val="17"/>
              </w:rPr>
            </w:r>
            <w:r>
              <w:rPr>
                <w:rFonts w:ascii="Arial" w:hAnsi="Arial"/>
                <w:b w:val="0"/>
                <w:sz w:val="17"/>
              </w:rPr>
              <w:t>Prospect list, partner referrals, event leads, interest form.</w:t>
            </w:r>
          </w:p>
        </w:tc>
        <w:tc>
          <w:tcPr>
            <w:tcW w:type="dxa" w:w="2520"/>
            <w:vAlign w:val="center"/>
          </w:tcPr>
          <w:p>
            <w:pPr>
              <w:spacing w:after="40"/>
            </w:pPr>
            <w:r>
              <w:rPr>
                <w:rFonts w:ascii="Arial" w:hAnsi="Arial"/>
                <w:sz w:val="17"/>
              </w:rPr>
            </w:r>
            <w:r>
              <w:rPr>
                <w:rFonts w:ascii="Arial" w:hAnsi="Arial"/>
                <w:b w:val="0"/>
                <w:sz w:val="17"/>
              </w:rPr>
              <w:t>Prospect matches mission, cuisine mix, and readiness profile.</w:t>
            </w:r>
          </w:p>
        </w:tc>
      </w:tr>
      <w:tr>
        <w:tc>
          <w:tcPr>
            <w:tcW w:type="dxa" w:w="2520"/>
            <w:vAlign w:val="center"/>
          </w:tcPr>
          <w:p>
            <w:pPr>
              <w:spacing w:after="40"/>
            </w:pPr>
            <w:r>
              <w:rPr>
                <w:rFonts w:ascii="Arial" w:hAnsi="Arial"/>
                <w:sz w:val="17"/>
              </w:rPr>
            </w:r>
            <w:r>
              <w:rPr>
                <w:rFonts w:ascii="Arial" w:hAnsi="Arial"/>
                <w:b w:val="0"/>
                <w:sz w:val="17"/>
              </w:rPr>
              <w:t>Application</w:t>
            </w:r>
          </w:p>
        </w:tc>
        <w:tc>
          <w:tcPr>
            <w:tcW w:type="dxa" w:w="2520"/>
            <w:vAlign w:val="center"/>
          </w:tcPr>
          <w:p>
            <w:pPr>
              <w:spacing w:after="40"/>
            </w:pPr>
            <w:r>
              <w:rPr>
                <w:rFonts w:ascii="Arial" w:hAnsi="Arial"/>
                <w:sz w:val="17"/>
              </w:rPr>
            </w:r>
            <w:r>
              <w:rPr>
                <w:rFonts w:ascii="Arial" w:hAnsi="Arial"/>
                <w:b w:val="0"/>
                <w:sz w:val="17"/>
              </w:rPr>
              <w:t>Incubator Director</w:t>
            </w:r>
          </w:p>
        </w:tc>
        <w:tc>
          <w:tcPr>
            <w:tcW w:type="dxa" w:w="2520"/>
            <w:vAlign w:val="center"/>
          </w:tcPr>
          <w:p>
            <w:pPr>
              <w:spacing w:after="40"/>
            </w:pPr>
            <w:r>
              <w:rPr>
                <w:rFonts w:ascii="Arial" w:hAnsi="Arial"/>
                <w:sz w:val="17"/>
              </w:rPr>
            </w:r>
            <w:r>
              <w:rPr>
                <w:rFonts w:ascii="Arial" w:hAnsi="Arial"/>
                <w:b w:val="0"/>
                <w:sz w:val="17"/>
              </w:rPr>
              <w:t>Application, menu, owner bio, pricing, photos, permit/training status, financial snapshot.</w:t>
            </w:r>
          </w:p>
        </w:tc>
        <w:tc>
          <w:tcPr>
            <w:tcW w:type="dxa" w:w="2520"/>
            <w:vAlign w:val="center"/>
          </w:tcPr>
          <w:p>
            <w:pPr>
              <w:spacing w:after="40"/>
            </w:pPr>
            <w:r>
              <w:rPr>
                <w:rFonts w:ascii="Arial" w:hAnsi="Arial"/>
                <w:sz w:val="17"/>
              </w:rPr>
            </w:r>
            <w:r>
              <w:rPr>
                <w:rFonts w:ascii="Arial" w:hAnsi="Arial"/>
                <w:b w:val="0"/>
                <w:sz w:val="17"/>
              </w:rPr>
              <w:t>Application complete enough for review.</w:t>
            </w:r>
          </w:p>
        </w:tc>
      </w:tr>
      <w:tr>
        <w:tc>
          <w:tcPr>
            <w:tcW w:type="dxa" w:w="2520"/>
            <w:vAlign w:val="center"/>
          </w:tcPr>
          <w:p>
            <w:pPr>
              <w:spacing w:after="40"/>
            </w:pPr>
            <w:r>
              <w:rPr>
                <w:rFonts w:ascii="Arial" w:hAnsi="Arial"/>
                <w:sz w:val="17"/>
              </w:rPr>
            </w:r>
            <w:r>
              <w:rPr>
                <w:rFonts w:ascii="Arial" w:hAnsi="Arial"/>
                <w:b w:val="0"/>
                <w:sz w:val="17"/>
              </w:rPr>
              <w:t>Selection</w:t>
            </w:r>
          </w:p>
        </w:tc>
        <w:tc>
          <w:tcPr>
            <w:tcW w:type="dxa" w:w="2520"/>
            <w:vAlign w:val="center"/>
          </w:tcPr>
          <w:p>
            <w:pPr>
              <w:spacing w:after="40"/>
            </w:pPr>
            <w:r>
              <w:rPr>
                <w:rFonts w:ascii="Arial" w:hAnsi="Arial"/>
                <w:sz w:val="17"/>
              </w:rPr>
            </w:r>
            <w:r>
              <w:rPr>
                <w:rFonts w:ascii="Arial" w:hAnsi="Arial"/>
                <w:b w:val="0"/>
                <w:sz w:val="17"/>
              </w:rPr>
              <w:t>Selection Committee</w:t>
            </w:r>
          </w:p>
        </w:tc>
        <w:tc>
          <w:tcPr>
            <w:tcW w:type="dxa" w:w="2520"/>
            <w:vAlign w:val="center"/>
          </w:tcPr>
          <w:p>
            <w:pPr>
              <w:spacing w:after="40"/>
            </w:pPr>
            <w:r>
              <w:rPr>
                <w:rFonts w:ascii="Arial" w:hAnsi="Arial"/>
                <w:sz w:val="17"/>
              </w:rPr>
            </w:r>
            <w:r>
              <w:rPr>
                <w:rFonts w:ascii="Arial" w:hAnsi="Arial"/>
                <w:b w:val="0"/>
                <w:sz w:val="17"/>
              </w:rPr>
              <w:t>Scoring sheet, tasting notes, interview notes, risk notes.</w:t>
            </w:r>
          </w:p>
        </w:tc>
        <w:tc>
          <w:tcPr>
            <w:tcW w:type="dxa" w:w="2520"/>
            <w:vAlign w:val="center"/>
          </w:tcPr>
          <w:p>
            <w:pPr>
              <w:spacing w:after="40"/>
            </w:pPr>
            <w:r>
              <w:rPr>
                <w:rFonts w:ascii="Arial" w:hAnsi="Arial"/>
                <w:sz w:val="17"/>
              </w:rPr>
            </w:r>
            <w:r>
              <w:rPr>
                <w:rFonts w:ascii="Arial" w:hAnsi="Arial"/>
                <w:b w:val="0"/>
                <w:sz w:val="17"/>
              </w:rPr>
              <w:t>Accept, waitlist, academy first, or decline.</w:t>
            </w:r>
          </w:p>
        </w:tc>
      </w:tr>
      <w:tr>
        <w:tc>
          <w:tcPr>
            <w:tcW w:type="dxa" w:w="2520"/>
            <w:vAlign w:val="center"/>
          </w:tcPr>
          <w:p>
            <w:pPr>
              <w:spacing w:after="40"/>
            </w:pPr>
            <w:r>
              <w:rPr>
                <w:rFonts w:ascii="Arial" w:hAnsi="Arial"/>
                <w:sz w:val="17"/>
              </w:rPr>
            </w:r>
            <w:r>
              <w:rPr>
                <w:rFonts w:ascii="Arial" w:hAnsi="Arial"/>
                <w:b w:val="0"/>
                <w:sz w:val="17"/>
              </w:rPr>
              <w:t>Food Entrepreneur Academy</w:t>
            </w:r>
          </w:p>
        </w:tc>
        <w:tc>
          <w:tcPr>
            <w:tcW w:type="dxa" w:w="2520"/>
            <w:vAlign w:val="center"/>
          </w:tcPr>
          <w:p>
            <w:pPr>
              <w:spacing w:after="40"/>
            </w:pPr>
            <w:r>
              <w:rPr>
                <w:rFonts w:ascii="Arial" w:hAnsi="Arial"/>
                <w:sz w:val="17"/>
              </w:rPr>
            </w:r>
            <w:r>
              <w:rPr>
                <w:rFonts w:ascii="Arial" w:hAnsi="Arial"/>
                <w:b w:val="0"/>
                <w:sz w:val="17"/>
              </w:rPr>
              <w:t>Program Team</w:t>
            </w:r>
          </w:p>
        </w:tc>
        <w:tc>
          <w:tcPr>
            <w:tcW w:type="dxa" w:w="2520"/>
            <w:vAlign w:val="center"/>
          </w:tcPr>
          <w:p>
            <w:pPr>
              <w:spacing w:after="40"/>
            </w:pPr>
            <w:r>
              <w:rPr>
                <w:rFonts w:ascii="Arial" w:hAnsi="Arial"/>
                <w:sz w:val="17"/>
              </w:rPr>
            </w:r>
            <w:r>
              <w:rPr>
                <w:rFonts w:ascii="Arial" w:hAnsi="Arial"/>
                <w:b w:val="0"/>
                <w:sz w:val="17"/>
              </w:rPr>
              <w:t>Attendance, assignments, menu costing, pitch deck, compliance checklist.</w:t>
            </w:r>
          </w:p>
        </w:tc>
        <w:tc>
          <w:tcPr>
            <w:tcW w:type="dxa" w:w="2520"/>
            <w:vAlign w:val="center"/>
          </w:tcPr>
          <w:p>
            <w:pPr>
              <w:spacing w:after="40"/>
            </w:pPr>
            <w:r>
              <w:rPr>
                <w:rFonts w:ascii="Arial" w:hAnsi="Arial"/>
                <w:sz w:val="17"/>
              </w:rPr>
            </w:r>
            <w:r>
              <w:rPr>
                <w:rFonts w:ascii="Arial" w:hAnsi="Arial"/>
                <w:b w:val="0"/>
                <w:sz w:val="17"/>
              </w:rPr>
              <w:t>Vendor ready for license/onboarding or needs more prep.</w:t>
            </w:r>
          </w:p>
        </w:tc>
      </w:tr>
      <w:tr>
        <w:tc>
          <w:tcPr>
            <w:tcW w:type="dxa" w:w="2520"/>
            <w:vAlign w:val="center"/>
          </w:tcPr>
          <w:p>
            <w:pPr>
              <w:spacing w:after="40"/>
            </w:pPr>
            <w:r>
              <w:rPr>
                <w:rFonts w:ascii="Arial" w:hAnsi="Arial"/>
                <w:sz w:val="17"/>
              </w:rPr>
            </w:r>
            <w:r>
              <w:rPr>
                <w:rFonts w:ascii="Arial" w:hAnsi="Arial"/>
                <w:b w:val="0"/>
                <w:sz w:val="17"/>
              </w:rPr>
              <w:t>Onboarding</w:t>
            </w:r>
          </w:p>
        </w:tc>
        <w:tc>
          <w:tcPr>
            <w:tcW w:type="dxa" w:w="2520"/>
            <w:vAlign w:val="center"/>
          </w:tcPr>
          <w:p>
            <w:pPr>
              <w:spacing w:after="40"/>
            </w:pPr>
            <w:r>
              <w:rPr>
                <w:rFonts w:ascii="Arial" w:hAnsi="Arial"/>
                <w:sz w:val="17"/>
              </w:rPr>
            </w:r>
            <w:r>
              <w:rPr>
                <w:rFonts w:ascii="Arial" w:hAnsi="Arial"/>
                <w:b w:val="0"/>
                <w:sz w:val="17"/>
              </w:rPr>
              <w:t>Operations Manager</w:t>
            </w:r>
          </w:p>
        </w:tc>
        <w:tc>
          <w:tcPr>
            <w:tcW w:type="dxa" w:w="2520"/>
            <w:vAlign w:val="center"/>
          </w:tcPr>
          <w:p>
            <w:pPr>
              <w:spacing w:after="40"/>
            </w:pPr>
            <w:r>
              <w:rPr>
                <w:rFonts w:ascii="Arial" w:hAnsi="Arial"/>
                <w:sz w:val="17"/>
              </w:rPr>
            </w:r>
            <w:r>
              <w:rPr>
                <w:rFonts w:ascii="Arial" w:hAnsi="Arial"/>
                <w:b w:val="0"/>
                <w:sz w:val="17"/>
              </w:rPr>
              <w:t>License, insurance, permits, POS, storage map, house rules, menu/allergen list.</w:t>
            </w:r>
          </w:p>
        </w:tc>
        <w:tc>
          <w:tcPr>
            <w:tcW w:type="dxa" w:w="2520"/>
            <w:vAlign w:val="center"/>
          </w:tcPr>
          <w:p>
            <w:pPr>
              <w:spacing w:after="40"/>
            </w:pPr>
            <w:r>
              <w:rPr>
                <w:rFonts w:ascii="Arial" w:hAnsi="Arial"/>
                <w:sz w:val="17"/>
              </w:rPr>
            </w:r>
            <w:r>
              <w:rPr>
                <w:rFonts w:ascii="Arial" w:hAnsi="Arial"/>
                <w:b w:val="0"/>
                <w:sz w:val="17"/>
              </w:rPr>
              <w:t>Vendor approved for soft launch.</w:t>
            </w:r>
          </w:p>
        </w:tc>
      </w:tr>
      <w:tr>
        <w:tc>
          <w:tcPr>
            <w:tcW w:type="dxa" w:w="2520"/>
            <w:vAlign w:val="center"/>
          </w:tcPr>
          <w:p>
            <w:pPr>
              <w:spacing w:after="40"/>
            </w:pPr>
            <w:r>
              <w:rPr>
                <w:rFonts w:ascii="Arial" w:hAnsi="Arial"/>
                <w:sz w:val="17"/>
              </w:rPr>
            </w:r>
            <w:r>
              <w:rPr>
                <w:rFonts w:ascii="Arial" w:hAnsi="Arial"/>
                <w:b w:val="0"/>
                <w:sz w:val="17"/>
              </w:rPr>
              <w:t>Soft launch</w:t>
            </w:r>
          </w:p>
        </w:tc>
        <w:tc>
          <w:tcPr>
            <w:tcW w:type="dxa" w:w="2520"/>
            <w:vAlign w:val="center"/>
          </w:tcPr>
          <w:p>
            <w:pPr>
              <w:spacing w:after="40"/>
            </w:pPr>
            <w:r>
              <w:rPr>
                <w:rFonts w:ascii="Arial" w:hAnsi="Arial"/>
                <w:sz w:val="17"/>
              </w:rPr>
            </w:r>
            <w:r>
              <w:rPr>
                <w:rFonts w:ascii="Arial" w:hAnsi="Arial"/>
                <w:b w:val="0"/>
                <w:sz w:val="17"/>
              </w:rPr>
              <w:t>Hall Manager</w:t>
            </w:r>
          </w:p>
        </w:tc>
        <w:tc>
          <w:tcPr>
            <w:tcW w:type="dxa" w:w="2520"/>
            <w:vAlign w:val="center"/>
          </w:tcPr>
          <w:p>
            <w:pPr>
              <w:spacing w:after="40"/>
            </w:pPr>
            <w:r>
              <w:rPr>
                <w:rFonts w:ascii="Arial" w:hAnsi="Arial"/>
                <w:sz w:val="17"/>
              </w:rPr>
            </w:r>
            <w:r>
              <w:rPr>
                <w:rFonts w:ascii="Arial" w:hAnsi="Arial"/>
                <w:b w:val="0"/>
                <w:sz w:val="17"/>
              </w:rPr>
              <w:t>Soft-opening checklist, sales report, customer feedback, issue log.</w:t>
            </w:r>
          </w:p>
        </w:tc>
        <w:tc>
          <w:tcPr>
            <w:tcW w:type="dxa" w:w="2520"/>
            <w:vAlign w:val="center"/>
          </w:tcPr>
          <w:p>
            <w:pPr>
              <w:spacing w:after="40"/>
            </w:pPr>
            <w:r>
              <w:rPr>
                <w:rFonts w:ascii="Arial" w:hAnsi="Arial"/>
                <w:sz w:val="17"/>
              </w:rPr>
            </w:r>
            <w:r>
              <w:rPr>
                <w:rFonts w:ascii="Arial" w:hAnsi="Arial"/>
                <w:b w:val="0"/>
                <w:sz w:val="17"/>
              </w:rPr>
              <w:t>Vendor cleared for regular schedule.</w:t>
            </w:r>
          </w:p>
        </w:tc>
      </w:tr>
      <w:tr>
        <w:tc>
          <w:tcPr>
            <w:tcW w:type="dxa" w:w="2520"/>
            <w:vAlign w:val="center"/>
          </w:tcPr>
          <w:p>
            <w:pPr>
              <w:spacing w:after="40"/>
            </w:pPr>
            <w:r>
              <w:rPr>
                <w:rFonts w:ascii="Arial" w:hAnsi="Arial"/>
                <w:sz w:val="17"/>
              </w:rPr>
            </w:r>
            <w:r>
              <w:rPr>
                <w:rFonts w:ascii="Arial" w:hAnsi="Arial"/>
                <w:b w:val="0"/>
                <w:sz w:val="17"/>
              </w:rPr>
              <w:t>Growth support</w:t>
            </w:r>
          </w:p>
        </w:tc>
        <w:tc>
          <w:tcPr>
            <w:tcW w:type="dxa" w:w="2520"/>
            <w:vAlign w:val="center"/>
          </w:tcPr>
          <w:p>
            <w:pPr>
              <w:spacing w:after="40"/>
            </w:pPr>
            <w:r>
              <w:rPr>
                <w:rFonts w:ascii="Arial" w:hAnsi="Arial"/>
                <w:sz w:val="17"/>
              </w:rPr>
            </w:r>
            <w:r>
              <w:rPr>
                <w:rFonts w:ascii="Arial" w:hAnsi="Arial"/>
                <w:b w:val="0"/>
                <w:sz w:val="17"/>
              </w:rPr>
              <w:t>Incubator Director</w:t>
            </w:r>
          </w:p>
        </w:tc>
        <w:tc>
          <w:tcPr>
            <w:tcW w:type="dxa" w:w="2520"/>
            <w:vAlign w:val="center"/>
          </w:tcPr>
          <w:p>
            <w:pPr>
              <w:spacing w:after="40"/>
            </w:pPr>
            <w:r>
              <w:rPr>
                <w:rFonts w:ascii="Arial" w:hAnsi="Arial"/>
                <w:sz w:val="17"/>
              </w:rPr>
            </w:r>
            <w:r>
              <w:rPr>
                <w:rFonts w:ascii="Arial" w:hAnsi="Arial"/>
                <w:b w:val="0"/>
                <w:sz w:val="17"/>
              </w:rPr>
              <w:t>Monthly review, coaching notes, financial reports, marketing plan.</w:t>
            </w:r>
          </w:p>
        </w:tc>
        <w:tc>
          <w:tcPr>
            <w:tcW w:type="dxa" w:w="2520"/>
            <w:vAlign w:val="center"/>
          </w:tcPr>
          <w:p>
            <w:pPr>
              <w:spacing w:after="40"/>
            </w:pPr>
            <w:r>
              <w:rPr>
                <w:rFonts w:ascii="Arial" w:hAnsi="Arial"/>
                <w:sz w:val="17"/>
              </w:rPr>
            </w:r>
            <w:r>
              <w:rPr>
                <w:rFonts w:ascii="Arial" w:hAnsi="Arial"/>
                <w:b w:val="0"/>
                <w:sz w:val="17"/>
              </w:rPr>
              <w:t>Vendor on track or improvement plan needed.</w:t>
            </w:r>
          </w:p>
        </w:tc>
      </w:tr>
      <w:tr>
        <w:tc>
          <w:tcPr>
            <w:tcW w:type="dxa" w:w="2520"/>
            <w:vAlign w:val="center"/>
          </w:tcPr>
          <w:p>
            <w:pPr>
              <w:spacing w:after="40"/>
            </w:pPr>
            <w:r>
              <w:rPr>
                <w:rFonts w:ascii="Arial" w:hAnsi="Arial"/>
                <w:sz w:val="17"/>
              </w:rPr>
            </w:r>
            <w:r>
              <w:rPr>
                <w:rFonts w:ascii="Arial" w:hAnsi="Arial"/>
                <w:b w:val="0"/>
                <w:sz w:val="17"/>
              </w:rPr>
              <w:t>Improvement plan</w:t>
            </w:r>
          </w:p>
        </w:tc>
        <w:tc>
          <w:tcPr>
            <w:tcW w:type="dxa" w:w="2520"/>
            <w:vAlign w:val="center"/>
          </w:tcPr>
          <w:p>
            <w:pPr>
              <w:spacing w:after="40"/>
            </w:pPr>
            <w:r>
              <w:rPr>
                <w:rFonts w:ascii="Arial" w:hAnsi="Arial"/>
                <w:sz w:val="17"/>
              </w:rPr>
            </w:r>
            <w:r>
              <w:rPr>
                <w:rFonts w:ascii="Arial" w:hAnsi="Arial"/>
                <w:b w:val="0"/>
                <w:sz w:val="17"/>
              </w:rPr>
              <w:t>Incubator Director / Vendor</w:t>
            </w:r>
          </w:p>
        </w:tc>
        <w:tc>
          <w:tcPr>
            <w:tcW w:type="dxa" w:w="2520"/>
            <w:vAlign w:val="center"/>
          </w:tcPr>
          <w:p>
            <w:pPr>
              <w:spacing w:after="40"/>
            </w:pPr>
            <w:r>
              <w:rPr>
                <w:rFonts w:ascii="Arial" w:hAnsi="Arial"/>
                <w:sz w:val="17"/>
              </w:rPr>
            </w:r>
            <w:r>
              <w:rPr>
                <w:rFonts w:ascii="Arial" w:hAnsi="Arial"/>
                <w:b w:val="0"/>
                <w:sz w:val="17"/>
              </w:rPr>
              <w:t>Written issue, corrective actions, timeline, support offered.</w:t>
            </w:r>
          </w:p>
        </w:tc>
        <w:tc>
          <w:tcPr>
            <w:tcW w:type="dxa" w:w="2520"/>
            <w:vAlign w:val="center"/>
          </w:tcPr>
          <w:p>
            <w:pPr>
              <w:spacing w:after="40"/>
            </w:pPr>
            <w:r>
              <w:rPr>
                <w:rFonts w:ascii="Arial" w:hAnsi="Arial"/>
                <w:sz w:val="17"/>
              </w:rPr>
            </w:r>
            <w:r>
              <w:rPr>
                <w:rFonts w:ascii="Arial" w:hAnsi="Arial"/>
                <w:b w:val="0"/>
                <w:sz w:val="17"/>
              </w:rPr>
              <w:t>Performance recovers or offboarding begins.</w:t>
            </w:r>
          </w:p>
        </w:tc>
      </w:tr>
      <w:tr>
        <w:tc>
          <w:tcPr>
            <w:tcW w:type="dxa" w:w="2520"/>
            <w:vAlign w:val="center"/>
          </w:tcPr>
          <w:p>
            <w:pPr>
              <w:spacing w:after="40"/>
            </w:pPr>
            <w:r>
              <w:rPr>
                <w:rFonts w:ascii="Arial" w:hAnsi="Arial"/>
                <w:sz w:val="17"/>
              </w:rPr>
            </w:r>
            <w:r>
              <w:rPr>
                <w:rFonts w:ascii="Arial" w:hAnsi="Arial"/>
                <w:b w:val="0"/>
                <w:sz w:val="17"/>
              </w:rPr>
              <w:t>Graduation/offboarding</w:t>
            </w:r>
          </w:p>
        </w:tc>
        <w:tc>
          <w:tcPr>
            <w:tcW w:type="dxa" w:w="2520"/>
            <w:vAlign w:val="center"/>
          </w:tcPr>
          <w:p>
            <w:pPr>
              <w:spacing w:after="40"/>
            </w:pPr>
            <w:r>
              <w:rPr>
                <w:rFonts w:ascii="Arial" w:hAnsi="Arial"/>
                <w:sz w:val="17"/>
              </w:rPr>
            </w:r>
            <w:r>
              <w:rPr>
                <w:rFonts w:ascii="Arial" w:hAnsi="Arial"/>
                <w:b w:val="0"/>
                <w:sz w:val="17"/>
              </w:rPr>
              <w:t>Incubator Director</w:t>
            </w:r>
          </w:p>
        </w:tc>
        <w:tc>
          <w:tcPr>
            <w:tcW w:type="dxa" w:w="2520"/>
            <w:vAlign w:val="center"/>
          </w:tcPr>
          <w:p>
            <w:pPr>
              <w:spacing w:after="40"/>
            </w:pPr>
            <w:r>
              <w:rPr>
                <w:rFonts w:ascii="Arial" w:hAnsi="Arial"/>
                <w:sz w:val="17"/>
              </w:rPr>
            </w:r>
            <w:r>
              <w:rPr>
                <w:rFonts w:ascii="Arial" w:hAnsi="Arial"/>
                <w:b w:val="0"/>
                <w:sz w:val="17"/>
              </w:rPr>
              <w:t>Graduation assessment, transition plan, alumni agreement if applicable.</w:t>
            </w:r>
          </w:p>
        </w:tc>
        <w:tc>
          <w:tcPr>
            <w:tcW w:type="dxa" w:w="2520"/>
            <w:vAlign w:val="center"/>
          </w:tcPr>
          <w:p>
            <w:pPr>
              <w:spacing w:after="40"/>
            </w:pPr>
            <w:r>
              <w:rPr>
                <w:rFonts w:ascii="Arial" w:hAnsi="Arial"/>
                <w:sz w:val="17"/>
              </w:rPr>
            </w:r>
            <w:r>
              <w:rPr>
                <w:rFonts w:ascii="Arial" w:hAnsi="Arial"/>
                <w:b w:val="0"/>
                <w:sz w:val="17"/>
              </w:rPr>
              <w:t>Permanent stall, independent launch, truck, retail, or planned exit.</w:t>
            </w:r>
          </w:p>
        </w:tc>
      </w:tr>
      <w:tr>
        <w:tc>
          <w:tcPr>
            <w:tcW w:type="dxa" w:w="2520"/>
            <w:vAlign w:val="center"/>
          </w:tcPr>
          <w:p>
            <w:pPr>
              <w:spacing w:after="40"/>
            </w:pPr>
            <w:r>
              <w:rPr>
                <w:rFonts w:ascii="Arial" w:hAnsi="Arial"/>
                <w:sz w:val="17"/>
              </w:rPr>
            </w:r>
            <w:r>
              <w:rPr>
                <w:rFonts w:ascii="Arial" w:hAnsi="Arial"/>
                <w:b w:val="0"/>
                <w:sz w:val="17"/>
              </w:rPr>
              <w:t>Backfill</w:t>
            </w:r>
          </w:p>
        </w:tc>
        <w:tc>
          <w:tcPr>
            <w:tcW w:type="dxa" w:w="2520"/>
            <w:vAlign w:val="center"/>
          </w:tcPr>
          <w:p>
            <w:pPr>
              <w:spacing w:after="40"/>
            </w:pPr>
            <w:r>
              <w:rPr>
                <w:rFonts w:ascii="Arial" w:hAnsi="Arial"/>
                <w:sz w:val="17"/>
              </w:rPr>
            </w:r>
            <w:r>
              <w:rPr>
                <w:rFonts w:ascii="Arial" w:hAnsi="Arial"/>
                <w:b w:val="0"/>
                <w:sz w:val="17"/>
              </w:rPr>
              <w:t>Program Coordinator</w:t>
            </w:r>
          </w:p>
        </w:tc>
        <w:tc>
          <w:tcPr>
            <w:tcW w:type="dxa" w:w="2520"/>
            <w:vAlign w:val="center"/>
          </w:tcPr>
          <w:p>
            <w:pPr>
              <w:spacing w:after="40"/>
            </w:pPr>
            <w:r>
              <w:rPr>
                <w:rFonts w:ascii="Arial" w:hAnsi="Arial"/>
                <w:sz w:val="17"/>
              </w:rPr>
            </w:r>
            <w:r>
              <w:rPr>
                <w:rFonts w:ascii="Arial" w:hAnsi="Arial"/>
                <w:b w:val="0"/>
                <w:sz w:val="17"/>
              </w:rPr>
              <w:t>Waitlist review, replacement schedule, announcement plan.</w:t>
            </w:r>
          </w:p>
        </w:tc>
        <w:tc>
          <w:tcPr>
            <w:tcW w:type="dxa" w:w="2520"/>
            <w:vAlign w:val="center"/>
          </w:tcPr>
          <w:p>
            <w:pPr>
              <w:spacing w:after="40"/>
            </w:pPr>
            <w:r>
              <w:rPr>
                <w:rFonts w:ascii="Arial" w:hAnsi="Arial"/>
                <w:sz w:val="17"/>
              </w:rPr>
            </w:r>
            <w:r>
              <w:rPr>
                <w:rFonts w:ascii="Arial" w:hAnsi="Arial"/>
                <w:b w:val="0"/>
                <w:sz w:val="17"/>
              </w:rPr>
              <w:t>Stall downtime minimized.</w:t>
            </w:r>
          </w:p>
        </w:tc>
      </w:tr>
    </w:tbl>
    <w:p/>
    <w:p>
      <w:pPr>
        <w:pStyle w:val="Heading2"/>
      </w:pPr>
      <w:r>
        <w:t>3.1 Outreach and Pipeline</w:t>
      </w:r>
    </w:p>
    <w:p>
      <w:pPr>
        <w:pStyle w:val="ListBullet"/>
      </w:pPr>
      <w:r>
        <w:t>Build referral channels with SBDCs, universities, workforce agencies, farmers markets, food trucks, home-based food entrepreneurs, commissary users, and cultural organizations.</w:t>
      </w:r>
    </w:p>
    <w:p>
      <w:pPr>
        <w:pStyle w:val="ListBullet"/>
      </w:pPr>
      <w:r>
        <w:t>Use proof events and tasting days to observe execution, customer response, sanitation habits, and coachability.</w:t>
      </w:r>
    </w:p>
    <w:p>
      <w:pPr>
        <w:pStyle w:val="ListBullet"/>
      </w:pPr>
      <w:r>
        <w:t>Maintain a pipeline dashboard: lead source, cuisine, readiness, permit status, capital need, academy status, and next step.</w:t>
      </w:r>
    </w:p>
    <w:p>
      <w:pPr>
        <w:pStyle w:val="Heading2"/>
      </w:pPr>
      <w:r>
        <w:t>3.2 Application and Selection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Criteria</w:t>
            </w:r>
          </w:p>
        </w:tc>
        <w:tc>
          <w:tcPr>
            <w:tcW w:type="dxa" w:w="3360"/>
            <w:vAlign w:val="center"/>
            <w:shd w:fill="1F4E5F"/>
          </w:tcPr>
          <w:p>
            <w:pPr>
              <w:spacing w:after="40"/>
            </w:pPr>
            <w:r>
              <w:rPr>
                <w:rFonts w:ascii="Arial" w:hAnsi="Arial"/>
                <w:sz w:val="17"/>
              </w:rPr>
            </w:r>
            <w:r>
              <w:rPr>
                <w:rFonts w:ascii="Arial" w:hAnsi="Arial"/>
                <w:b/>
                <w:color w:val="FFFFFF"/>
                <w:sz w:val="17"/>
              </w:rPr>
              <w:t>Evidence</w:t>
            </w:r>
          </w:p>
        </w:tc>
        <w:tc>
          <w:tcPr>
            <w:tcW w:type="dxa" w:w="3360"/>
            <w:vAlign w:val="center"/>
            <w:shd w:fill="1F4E5F"/>
          </w:tcPr>
          <w:p>
            <w:pPr>
              <w:spacing w:after="40"/>
            </w:pPr>
            <w:r>
              <w:rPr>
                <w:rFonts w:ascii="Arial" w:hAnsi="Arial"/>
                <w:sz w:val="17"/>
              </w:rPr>
            </w:r>
            <w:r>
              <w:rPr>
                <w:rFonts w:ascii="Arial" w:hAnsi="Arial"/>
                <w:b/>
                <w:color w:val="FFFFFF"/>
                <w:sz w:val="17"/>
              </w:rPr>
              <w:t>Red Flags</w:t>
            </w:r>
          </w:p>
        </w:tc>
      </w:tr>
      <w:tr>
        <w:tc>
          <w:tcPr>
            <w:tcW w:type="dxa" w:w="3360"/>
            <w:vAlign w:val="center"/>
          </w:tcPr>
          <w:p>
            <w:pPr>
              <w:spacing w:after="40"/>
            </w:pPr>
            <w:r>
              <w:rPr>
                <w:rFonts w:ascii="Arial" w:hAnsi="Arial"/>
                <w:sz w:val="17"/>
              </w:rPr>
            </w:r>
            <w:r>
              <w:rPr>
                <w:rFonts w:ascii="Arial" w:hAnsi="Arial"/>
                <w:b w:val="0"/>
                <w:sz w:val="17"/>
              </w:rPr>
              <w:t>Concept fit</w:t>
            </w:r>
          </w:p>
        </w:tc>
        <w:tc>
          <w:tcPr>
            <w:tcW w:type="dxa" w:w="3360"/>
            <w:vAlign w:val="center"/>
          </w:tcPr>
          <w:p>
            <w:pPr>
              <w:spacing w:after="40"/>
            </w:pPr>
            <w:r>
              <w:rPr>
                <w:rFonts w:ascii="Arial" w:hAnsi="Arial"/>
                <w:sz w:val="17"/>
              </w:rPr>
            </w:r>
            <w:r>
              <w:rPr>
                <w:rFonts w:ascii="Arial" w:hAnsi="Arial"/>
                <w:b w:val="0"/>
                <w:sz w:val="17"/>
              </w:rPr>
              <w:t>Menu fills a gap and complements the vendor mix.</w:t>
            </w:r>
          </w:p>
        </w:tc>
        <w:tc>
          <w:tcPr>
            <w:tcW w:type="dxa" w:w="3360"/>
            <w:vAlign w:val="center"/>
          </w:tcPr>
          <w:p>
            <w:pPr>
              <w:spacing w:after="40"/>
            </w:pPr>
            <w:r>
              <w:rPr>
                <w:rFonts w:ascii="Arial" w:hAnsi="Arial"/>
                <w:sz w:val="17"/>
              </w:rPr>
            </w:r>
            <w:r>
              <w:rPr>
                <w:rFonts w:ascii="Arial" w:hAnsi="Arial"/>
                <w:b w:val="0"/>
                <w:sz w:val="17"/>
              </w:rPr>
              <w:t>Duplicates existing vendor without clear differentiation.</w:t>
            </w:r>
          </w:p>
        </w:tc>
      </w:tr>
      <w:tr>
        <w:tc>
          <w:tcPr>
            <w:tcW w:type="dxa" w:w="3360"/>
            <w:vAlign w:val="center"/>
          </w:tcPr>
          <w:p>
            <w:pPr>
              <w:spacing w:after="40"/>
            </w:pPr>
            <w:r>
              <w:rPr>
                <w:rFonts w:ascii="Arial" w:hAnsi="Arial"/>
                <w:sz w:val="17"/>
              </w:rPr>
            </w:r>
            <w:r>
              <w:rPr>
                <w:rFonts w:ascii="Arial" w:hAnsi="Arial"/>
                <w:b w:val="0"/>
                <w:sz w:val="17"/>
              </w:rPr>
              <w:t>Financial readiness</w:t>
            </w:r>
          </w:p>
        </w:tc>
        <w:tc>
          <w:tcPr>
            <w:tcW w:type="dxa" w:w="3360"/>
            <w:vAlign w:val="center"/>
          </w:tcPr>
          <w:p>
            <w:pPr>
              <w:spacing w:after="40"/>
            </w:pPr>
            <w:r>
              <w:rPr>
                <w:rFonts w:ascii="Arial" w:hAnsi="Arial"/>
                <w:sz w:val="17"/>
              </w:rPr>
            </w:r>
            <w:r>
              <w:rPr>
                <w:rFonts w:ascii="Arial" w:hAnsi="Arial"/>
                <w:b w:val="0"/>
                <w:sz w:val="17"/>
              </w:rPr>
              <w:t>Basic pricing, COGS, labor estimate, cash needs.</w:t>
            </w:r>
          </w:p>
        </w:tc>
        <w:tc>
          <w:tcPr>
            <w:tcW w:type="dxa" w:w="3360"/>
            <w:vAlign w:val="center"/>
          </w:tcPr>
          <w:p>
            <w:pPr>
              <w:spacing w:after="40"/>
            </w:pPr>
            <w:r>
              <w:rPr>
                <w:rFonts w:ascii="Arial" w:hAnsi="Arial"/>
                <w:sz w:val="17"/>
              </w:rPr>
            </w:r>
            <w:r>
              <w:rPr>
                <w:rFonts w:ascii="Arial" w:hAnsi="Arial"/>
                <w:b w:val="0"/>
                <w:sz w:val="17"/>
              </w:rPr>
              <w:t>No understanding of margin or working capital.</w:t>
            </w:r>
          </w:p>
        </w:tc>
      </w:tr>
      <w:tr>
        <w:tc>
          <w:tcPr>
            <w:tcW w:type="dxa" w:w="3360"/>
            <w:vAlign w:val="center"/>
          </w:tcPr>
          <w:p>
            <w:pPr>
              <w:spacing w:after="40"/>
            </w:pPr>
            <w:r>
              <w:rPr>
                <w:rFonts w:ascii="Arial" w:hAnsi="Arial"/>
                <w:sz w:val="17"/>
              </w:rPr>
            </w:r>
            <w:r>
              <w:rPr>
                <w:rFonts w:ascii="Arial" w:hAnsi="Arial"/>
                <w:b w:val="0"/>
                <w:sz w:val="17"/>
              </w:rPr>
              <w:t>Operations capability</w:t>
            </w:r>
          </w:p>
        </w:tc>
        <w:tc>
          <w:tcPr>
            <w:tcW w:type="dxa" w:w="3360"/>
            <w:vAlign w:val="center"/>
          </w:tcPr>
          <w:p>
            <w:pPr>
              <w:spacing w:after="40"/>
            </w:pPr>
            <w:r>
              <w:rPr>
                <w:rFonts w:ascii="Arial" w:hAnsi="Arial"/>
                <w:sz w:val="17"/>
              </w:rPr>
            </w:r>
            <w:r>
              <w:rPr>
                <w:rFonts w:ascii="Arial" w:hAnsi="Arial"/>
                <w:b w:val="0"/>
                <w:sz w:val="17"/>
              </w:rPr>
              <w:t>Pop-up/truck/catering history or strong academy performance.</w:t>
            </w:r>
          </w:p>
        </w:tc>
        <w:tc>
          <w:tcPr>
            <w:tcW w:type="dxa" w:w="3360"/>
            <w:vAlign w:val="center"/>
          </w:tcPr>
          <w:p>
            <w:pPr>
              <w:spacing w:after="40"/>
            </w:pPr>
            <w:r>
              <w:rPr>
                <w:rFonts w:ascii="Arial" w:hAnsi="Arial"/>
                <w:sz w:val="17"/>
              </w:rPr>
            </w:r>
            <w:r>
              <w:rPr>
                <w:rFonts w:ascii="Arial" w:hAnsi="Arial"/>
                <w:b w:val="0"/>
                <w:sz w:val="17"/>
              </w:rPr>
              <w:t>Cannot execute consistent product during tasting.</w:t>
            </w:r>
          </w:p>
        </w:tc>
      </w:tr>
      <w:tr>
        <w:tc>
          <w:tcPr>
            <w:tcW w:type="dxa" w:w="3360"/>
            <w:vAlign w:val="center"/>
          </w:tcPr>
          <w:p>
            <w:pPr>
              <w:spacing w:after="40"/>
            </w:pPr>
            <w:r>
              <w:rPr>
                <w:rFonts w:ascii="Arial" w:hAnsi="Arial"/>
                <w:sz w:val="17"/>
              </w:rPr>
            </w:r>
            <w:r>
              <w:rPr>
                <w:rFonts w:ascii="Arial" w:hAnsi="Arial"/>
                <w:b w:val="0"/>
                <w:sz w:val="17"/>
              </w:rPr>
              <w:t>Compliance readiness</w:t>
            </w:r>
          </w:p>
        </w:tc>
        <w:tc>
          <w:tcPr>
            <w:tcW w:type="dxa" w:w="3360"/>
            <w:vAlign w:val="center"/>
          </w:tcPr>
          <w:p>
            <w:pPr>
              <w:spacing w:after="40"/>
            </w:pPr>
            <w:r>
              <w:rPr>
                <w:rFonts w:ascii="Arial" w:hAnsi="Arial"/>
                <w:sz w:val="17"/>
              </w:rPr>
            </w:r>
            <w:r>
              <w:rPr>
                <w:rFonts w:ascii="Arial" w:hAnsi="Arial"/>
                <w:b w:val="0"/>
                <w:sz w:val="17"/>
              </w:rPr>
              <w:t>Food handler/manager path, permit awareness, insurance plan.</w:t>
            </w:r>
          </w:p>
        </w:tc>
        <w:tc>
          <w:tcPr>
            <w:tcW w:type="dxa" w:w="3360"/>
            <w:vAlign w:val="center"/>
          </w:tcPr>
          <w:p>
            <w:pPr>
              <w:spacing w:after="40"/>
            </w:pPr>
            <w:r>
              <w:rPr>
                <w:rFonts w:ascii="Arial" w:hAnsi="Arial"/>
                <w:sz w:val="17"/>
              </w:rPr>
            </w:r>
            <w:r>
              <w:rPr>
                <w:rFonts w:ascii="Arial" w:hAnsi="Arial"/>
                <w:b w:val="0"/>
                <w:sz w:val="17"/>
              </w:rPr>
              <w:t>Resistance to documentation or health rules.</w:t>
            </w:r>
          </w:p>
        </w:tc>
      </w:tr>
      <w:tr>
        <w:tc>
          <w:tcPr>
            <w:tcW w:type="dxa" w:w="3360"/>
            <w:vAlign w:val="center"/>
          </w:tcPr>
          <w:p>
            <w:pPr>
              <w:spacing w:after="40"/>
            </w:pPr>
            <w:r>
              <w:rPr>
                <w:rFonts w:ascii="Arial" w:hAnsi="Arial"/>
                <w:sz w:val="17"/>
              </w:rPr>
            </w:r>
            <w:r>
              <w:rPr>
                <w:rFonts w:ascii="Arial" w:hAnsi="Arial"/>
                <w:b w:val="0"/>
                <w:sz w:val="17"/>
              </w:rPr>
              <w:t>Mission alignment</w:t>
            </w:r>
          </w:p>
        </w:tc>
        <w:tc>
          <w:tcPr>
            <w:tcW w:type="dxa" w:w="3360"/>
            <w:vAlign w:val="center"/>
          </w:tcPr>
          <w:p>
            <w:pPr>
              <w:spacing w:after="40"/>
            </w:pPr>
            <w:r>
              <w:rPr>
                <w:rFonts w:ascii="Arial" w:hAnsi="Arial"/>
                <w:sz w:val="17"/>
              </w:rPr>
            </w:r>
            <w:r>
              <w:rPr>
                <w:rFonts w:ascii="Arial" w:hAnsi="Arial"/>
                <w:b w:val="0"/>
                <w:sz w:val="17"/>
              </w:rPr>
              <w:t>Supports inclusive entrepreneurship, local sourcing, workforce, cultural programming.</w:t>
            </w:r>
          </w:p>
        </w:tc>
        <w:tc>
          <w:tcPr>
            <w:tcW w:type="dxa" w:w="3360"/>
            <w:vAlign w:val="center"/>
          </w:tcPr>
          <w:p>
            <w:pPr>
              <w:spacing w:after="40"/>
            </w:pPr>
            <w:r>
              <w:rPr>
                <w:rFonts w:ascii="Arial" w:hAnsi="Arial"/>
                <w:sz w:val="17"/>
              </w:rPr>
            </w:r>
            <w:r>
              <w:rPr>
                <w:rFonts w:ascii="Arial" w:hAnsi="Arial"/>
                <w:b w:val="0"/>
                <w:sz w:val="17"/>
              </w:rPr>
              <w:t>Only wants cheap space with no program participation.</w:t>
            </w:r>
          </w:p>
        </w:tc>
      </w:tr>
      <w:tr>
        <w:tc>
          <w:tcPr>
            <w:tcW w:type="dxa" w:w="3360"/>
            <w:vAlign w:val="center"/>
          </w:tcPr>
          <w:p>
            <w:pPr>
              <w:spacing w:after="40"/>
            </w:pPr>
            <w:r>
              <w:rPr>
                <w:rFonts w:ascii="Arial" w:hAnsi="Arial"/>
                <w:sz w:val="17"/>
              </w:rPr>
            </w:r>
            <w:r>
              <w:rPr>
                <w:rFonts w:ascii="Arial" w:hAnsi="Arial"/>
                <w:b w:val="0"/>
                <w:sz w:val="17"/>
              </w:rPr>
              <w:t>Coachability</w:t>
            </w:r>
          </w:p>
        </w:tc>
        <w:tc>
          <w:tcPr>
            <w:tcW w:type="dxa" w:w="3360"/>
            <w:vAlign w:val="center"/>
          </w:tcPr>
          <w:p>
            <w:pPr>
              <w:spacing w:after="40"/>
            </w:pPr>
            <w:r>
              <w:rPr>
                <w:rFonts w:ascii="Arial" w:hAnsi="Arial"/>
                <w:sz w:val="17"/>
              </w:rPr>
            </w:r>
            <w:r>
              <w:rPr>
                <w:rFonts w:ascii="Arial" w:hAnsi="Arial"/>
                <w:b w:val="0"/>
                <w:sz w:val="17"/>
              </w:rPr>
              <w:t>Responds to feedback and deadlines.</w:t>
            </w:r>
          </w:p>
        </w:tc>
        <w:tc>
          <w:tcPr>
            <w:tcW w:type="dxa" w:w="3360"/>
            <w:vAlign w:val="center"/>
          </w:tcPr>
          <w:p>
            <w:pPr>
              <w:spacing w:after="40"/>
            </w:pPr>
            <w:r>
              <w:rPr>
                <w:rFonts w:ascii="Arial" w:hAnsi="Arial"/>
                <w:sz w:val="17"/>
              </w:rPr>
            </w:r>
            <w:r>
              <w:rPr>
                <w:rFonts w:ascii="Arial" w:hAnsi="Arial"/>
                <w:b w:val="0"/>
                <w:sz w:val="17"/>
              </w:rPr>
              <w:t>Missed assignments, defensiveness, unreliable communication.</w:t>
            </w:r>
          </w:p>
        </w:tc>
      </w:tr>
    </w:tbl>
    <w:p/>
    <w:p>
      <w:pPr>
        <w:pStyle w:val="Heading2"/>
      </w:pPr>
      <w:r>
        <w:t>3.3A SVEDC-Informed Academy Option</w:t>
      </w:r>
    </w:p>
    <w:p>
      <w:r>
        <w:t>SVEDC's Semilla Program provides a more intensive benchmark than a short pre-incubator course. Public materials describe Semilla as a 6-month, approximately 24-week pathway built around the sequence Validate, Verify, Launch. It combines one-on-one support, online reference guides, videos, readings, practical worksheets, cohort networking, mentorship opportunities, and clear benchmarks. SVEDC states that participants either validate and launch or gain enough clarity to make a low-cost decision not to proceed.</w:t>
      </w:r>
    </w:p>
    <w:p>
      <w:r>
        <w:t>For the Las Cruces Culinary Hub, the Food Entrepreneur Academy can operate in two tiers: an 8-12 week launch-readiness version for vendors close to stall placement, and a deeper 24-week concept-validation version for early-stage entrepreneurs who need more time before taking on food hall operating obligations.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40"/>
            </w:pPr>
            <w:r>
              <w:rPr>
                <w:rFonts w:ascii="Arial" w:hAnsi="Arial"/>
                <w:sz w:val="17"/>
              </w:rPr>
            </w:r>
            <w:r>
              <w:rPr>
                <w:rFonts w:ascii="Arial" w:hAnsi="Arial"/>
                <w:b/>
                <w:color w:val="FFFFFF"/>
                <w:sz w:val="17"/>
              </w:rPr>
              <w:t>Semilla Benchmark Component</w:t>
            </w:r>
          </w:p>
        </w:tc>
        <w:tc>
          <w:tcPr>
            <w:tcW w:type="dxa" w:w="5040"/>
            <w:vAlign w:val="center"/>
            <w:shd w:fill="1F4E5F"/>
          </w:tcPr>
          <w:p>
            <w:pPr>
              <w:spacing w:after="40"/>
            </w:pPr>
            <w:r>
              <w:rPr>
                <w:rFonts w:ascii="Arial" w:hAnsi="Arial"/>
                <w:sz w:val="17"/>
              </w:rPr>
            </w:r>
            <w:r>
              <w:rPr>
                <w:rFonts w:ascii="Arial" w:hAnsi="Arial"/>
                <w:b/>
                <w:color w:val="FFFFFF"/>
                <w:sz w:val="17"/>
              </w:rPr>
              <w:t>Recommended Hub Adaptation</w:t>
            </w:r>
          </w:p>
        </w:tc>
      </w:tr>
      <w:tr>
        <w:tc>
          <w:tcPr>
            <w:tcW w:type="dxa" w:w="5040"/>
            <w:vAlign w:val="center"/>
          </w:tcPr>
          <w:p>
            <w:pPr>
              <w:spacing w:after="40"/>
            </w:pPr>
            <w:r>
              <w:rPr>
                <w:rFonts w:ascii="Arial" w:hAnsi="Arial"/>
                <w:sz w:val="17"/>
              </w:rPr>
            </w:r>
            <w:r>
              <w:rPr>
                <w:rFonts w:ascii="Arial" w:hAnsi="Arial"/>
                <w:b w:val="0"/>
                <w:sz w:val="17"/>
              </w:rPr>
              <w:t>6 in-person training days over 24 weeks</w:t>
            </w:r>
          </w:p>
        </w:tc>
        <w:tc>
          <w:tcPr>
            <w:tcW w:type="dxa" w:w="5040"/>
            <w:vAlign w:val="center"/>
          </w:tcPr>
          <w:p>
            <w:pPr>
              <w:spacing w:after="40"/>
            </w:pPr>
            <w:r>
              <w:rPr>
                <w:rFonts w:ascii="Arial" w:hAnsi="Arial"/>
                <w:sz w:val="17"/>
              </w:rPr>
            </w:r>
            <w:r>
              <w:rPr>
                <w:rFonts w:ascii="Arial" w:hAnsi="Arial"/>
                <w:b w:val="0"/>
                <w:sz w:val="17"/>
              </w:rPr>
              <w:t>Use monthly in-person intensives for food safety, menu testing, financial review, customer testing, and pitch practice.</w:t>
            </w:r>
          </w:p>
        </w:tc>
      </w:tr>
      <w:tr>
        <w:tc>
          <w:tcPr>
            <w:tcW w:type="dxa" w:w="5040"/>
            <w:vAlign w:val="center"/>
          </w:tcPr>
          <w:p>
            <w:pPr>
              <w:spacing w:after="40"/>
            </w:pPr>
            <w:r>
              <w:rPr>
                <w:rFonts w:ascii="Arial" w:hAnsi="Arial"/>
                <w:sz w:val="17"/>
              </w:rPr>
            </w:r>
            <w:r>
              <w:rPr>
                <w:rFonts w:ascii="Arial" w:hAnsi="Arial"/>
                <w:b w:val="0"/>
                <w:sz w:val="17"/>
              </w:rPr>
              <w:t>Weekly advisor meeting</w:t>
            </w:r>
          </w:p>
        </w:tc>
        <w:tc>
          <w:tcPr>
            <w:tcW w:type="dxa" w:w="5040"/>
            <w:vAlign w:val="center"/>
          </w:tcPr>
          <w:p>
            <w:pPr>
              <w:spacing w:after="40"/>
            </w:pPr>
            <w:r>
              <w:rPr>
                <w:rFonts w:ascii="Arial" w:hAnsi="Arial"/>
                <w:sz w:val="17"/>
              </w:rPr>
            </w:r>
            <w:r>
              <w:rPr>
                <w:rFonts w:ascii="Arial" w:hAnsi="Arial"/>
                <w:b w:val="0"/>
                <w:sz w:val="17"/>
              </w:rPr>
              <w:t>Assign each entrepreneur a weekly advisor check-in during academy participation.</w:t>
            </w:r>
          </w:p>
        </w:tc>
      </w:tr>
      <w:tr>
        <w:tc>
          <w:tcPr>
            <w:tcW w:type="dxa" w:w="5040"/>
            <w:vAlign w:val="center"/>
          </w:tcPr>
          <w:p>
            <w:pPr>
              <w:spacing w:after="40"/>
            </w:pPr>
            <w:r>
              <w:rPr>
                <w:rFonts w:ascii="Arial" w:hAnsi="Arial"/>
                <w:sz w:val="17"/>
              </w:rPr>
            </w:r>
            <w:r>
              <w:rPr>
                <w:rFonts w:ascii="Arial" w:hAnsi="Arial"/>
                <w:b w:val="0"/>
                <w:sz w:val="17"/>
              </w:rPr>
              <w:t>4 worksheets per week</w:t>
            </w:r>
          </w:p>
        </w:tc>
        <w:tc>
          <w:tcPr>
            <w:tcW w:type="dxa" w:w="5040"/>
            <w:vAlign w:val="center"/>
          </w:tcPr>
          <w:p>
            <w:pPr>
              <w:spacing w:after="40"/>
            </w:pPr>
            <w:r>
              <w:rPr>
                <w:rFonts w:ascii="Arial" w:hAnsi="Arial"/>
                <w:sz w:val="17"/>
              </w:rPr>
            </w:r>
            <w:r>
              <w:rPr>
                <w:rFonts w:ascii="Arial" w:hAnsi="Arial"/>
                <w:b w:val="0"/>
                <w:sz w:val="17"/>
              </w:rPr>
              <w:t>Use structured assignments for menu costing, operations, pricing, compliance, marketing, and launch budget.</w:t>
            </w:r>
          </w:p>
        </w:tc>
      </w:tr>
      <w:tr>
        <w:tc>
          <w:tcPr>
            <w:tcW w:type="dxa" w:w="5040"/>
            <w:vAlign w:val="center"/>
          </w:tcPr>
          <w:p>
            <w:pPr>
              <w:spacing w:after="40"/>
            </w:pPr>
            <w:r>
              <w:rPr>
                <w:rFonts w:ascii="Arial" w:hAnsi="Arial"/>
                <w:sz w:val="17"/>
              </w:rPr>
            </w:r>
            <w:r>
              <w:rPr>
                <w:rFonts w:ascii="Arial" w:hAnsi="Arial"/>
                <w:b w:val="0"/>
                <w:sz w:val="17"/>
              </w:rPr>
              <w:t>3 webinars per week</w:t>
            </w:r>
          </w:p>
        </w:tc>
        <w:tc>
          <w:tcPr>
            <w:tcW w:type="dxa" w:w="5040"/>
            <w:vAlign w:val="center"/>
          </w:tcPr>
          <w:p>
            <w:pPr>
              <w:spacing w:after="40"/>
            </w:pPr>
            <w:r>
              <w:rPr>
                <w:rFonts w:ascii="Arial" w:hAnsi="Arial"/>
                <w:sz w:val="17"/>
              </w:rPr>
            </w:r>
            <w:r>
              <w:rPr>
                <w:rFonts w:ascii="Arial" w:hAnsi="Arial"/>
                <w:b w:val="0"/>
                <w:sz w:val="17"/>
              </w:rPr>
              <w:t>Use short self-paced modules so operators can learn around work schedules.</w:t>
            </w:r>
          </w:p>
        </w:tc>
      </w:tr>
      <w:tr>
        <w:tc>
          <w:tcPr>
            <w:tcW w:type="dxa" w:w="5040"/>
            <w:vAlign w:val="center"/>
          </w:tcPr>
          <w:p>
            <w:pPr>
              <w:spacing w:after="40"/>
            </w:pPr>
            <w:r>
              <w:rPr>
                <w:rFonts w:ascii="Arial" w:hAnsi="Arial"/>
                <w:sz w:val="17"/>
              </w:rPr>
            </w:r>
            <w:r>
              <w:rPr>
                <w:rFonts w:ascii="Arial" w:hAnsi="Arial"/>
                <w:b w:val="0"/>
                <w:sz w:val="17"/>
              </w:rPr>
              <w:t>8-10 hour weekly commitment</w:t>
            </w:r>
          </w:p>
        </w:tc>
        <w:tc>
          <w:tcPr>
            <w:tcW w:type="dxa" w:w="5040"/>
            <w:vAlign w:val="center"/>
          </w:tcPr>
          <w:p>
            <w:pPr>
              <w:spacing w:after="40"/>
            </w:pPr>
            <w:r>
              <w:rPr>
                <w:rFonts w:ascii="Arial" w:hAnsi="Arial"/>
                <w:sz w:val="17"/>
              </w:rPr>
            </w:r>
            <w:r>
              <w:rPr>
                <w:rFonts w:ascii="Arial" w:hAnsi="Arial"/>
                <w:b w:val="0"/>
                <w:sz w:val="17"/>
              </w:rPr>
              <w:t>Set clear time expectations so the academy is treated as serious business preparation.</w:t>
            </w:r>
          </w:p>
        </w:tc>
      </w:tr>
      <w:tr>
        <w:tc>
          <w:tcPr>
            <w:tcW w:type="dxa" w:w="5040"/>
            <w:vAlign w:val="center"/>
          </w:tcPr>
          <w:p>
            <w:pPr>
              <w:spacing w:after="40"/>
            </w:pPr>
            <w:r>
              <w:rPr>
                <w:rFonts w:ascii="Arial" w:hAnsi="Arial"/>
                <w:sz w:val="17"/>
              </w:rPr>
            </w:r>
            <w:r>
              <w:rPr>
                <w:rFonts w:ascii="Arial" w:hAnsi="Arial"/>
                <w:b w:val="0"/>
                <w:sz w:val="17"/>
              </w:rPr>
              <w:t>Cohort participation</w:t>
            </w:r>
          </w:p>
        </w:tc>
        <w:tc>
          <w:tcPr>
            <w:tcW w:type="dxa" w:w="5040"/>
            <w:vAlign w:val="center"/>
          </w:tcPr>
          <w:p>
            <w:pPr>
              <w:spacing w:after="40"/>
            </w:pPr>
            <w:r>
              <w:rPr>
                <w:rFonts w:ascii="Arial" w:hAnsi="Arial"/>
                <w:sz w:val="17"/>
              </w:rPr>
            </w:r>
            <w:r>
              <w:rPr>
                <w:rFonts w:ascii="Arial" w:hAnsi="Arial"/>
                <w:b w:val="0"/>
                <w:sz w:val="17"/>
              </w:rPr>
              <w:t>Require peer accountability, tasting feedback, shared problem-solving, and attendance standards.</w:t>
            </w:r>
          </w:p>
        </w:tc>
      </w:tr>
      <w:tr>
        <w:tc>
          <w:tcPr>
            <w:tcW w:type="dxa" w:w="5040"/>
            <w:vAlign w:val="center"/>
          </w:tcPr>
          <w:p>
            <w:pPr>
              <w:spacing w:after="40"/>
            </w:pPr>
            <w:r>
              <w:rPr>
                <w:rFonts w:ascii="Arial" w:hAnsi="Arial"/>
                <w:sz w:val="17"/>
              </w:rPr>
            </w:r>
            <w:r>
              <w:rPr>
                <w:rFonts w:ascii="Arial" w:hAnsi="Arial"/>
                <w:b w:val="0"/>
                <w:sz w:val="17"/>
              </w:rPr>
              <w:t>Maximum pilot cohort of 12</w:t>
            </w:r>
          </w:p>
        </w:tc>
        <w:tc>
          <w:tcPr>
            <w:tcW w:type="dxa" w:w="5040"/>
            <w:vAlign w:val="center"/>
          </w:tcPr>
          <w:p>
            <w:pPr>
              <w:spacing w:after="40"/>
            </w:pPr>
            <w:r>
              <w:rPr>
                <w:rFonts w:ascii="Arial" w:hAnsi="Arial"/>
                <w:sz w:val="17"/>
              </w:rPr>
            </w:r>
            <w:r>
              <w:rPr>
                <w:rFonts w:ascii="Arial" w:hAnsi="Arial"/>
                <w:b w:val="0"/>
                <w:sz w:val="17"/>
              </w:rPr>
              <w:t>Keep first Las Cruces cohorts small enough for real coaching and measurable outcomes.</w:t>
            </w:r>
          </w:p>
        </w:tc>
      </w:tr>
      <w:tr>
        <w:tc>
          <w:tcPr>
            <w:tcW w:type="dxa" w:w="5040"/>
            <w:vAlign w:val="center"/>
          </w:tcPr>
          <w:p>
            <w:pPr>
              <w:spacing w:after="40"/>
            </w:pPr>
            <w:r>
              <w:rPr>
                <w:rFonts w:ascii="Arial" w:hAnsi="Arial"/>
                <w:sz w:val="17"/>
              </w:rPr>
            </w:r>
            <w:r>
              <w:rPr>
                <w:rFonts w:ascii="Arial" w:hAnsi="Arial"/>
                <w:b w:val="0"/>
                <w:sz w:val="17"/>
              </w:rPr>
              <w:t>Commercial kitchen access for product testing</w:t>
            </w:r>
          </w:p>
        </w:tc>
        <w:tc>
          <w:tcPr>
            <w:tcW w:type="dxa" w:w="5040"/>
            <w:vAlign w:val="center"/>
          </w:tcPr>
          <w:p>
            <w:pPr>
              <w:spacing w:after="40"/>
            </w:pPr>
            <w:r>
              <w:rPr>
                <w:rFonts w:ascii="Arial" w:hAnsi="Arial"/>
                <w:sz w:val="17"/>
              </w:rPr>
            </w:r>
            <w:r>
              <w:rPr>
                <w:rFonts w:ascii="Arial" w:hAnsi="Arial"/>
                <w:b w:val="0"/>
                <w:sz w:val="17"/>
              </w:rPr>
              <w:t>Limit early-stage kitchen use to controlled testing until permit, insurance, and production-readiness requirements are met.</w:t>
            </w:r>
          </w:p>
        </w:tc>
      </w:tr>
    </w:tbl>
    <w:p/>
    <w:p>
      <w:pPr>
        <w:pStyle w:val="Heading2"/>
      </w:pPr>
      <w:r>
        <w:t>3.3 Food Entrepreneur Academy - 8 to 12 Week Curriculum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Week / Module</w:t>
            </w:r>
          </w:p>
        </w:tc>
        <w:tc>
          <w:tcPr>
            <w:tcW w:type="dxa" w:w="3360"/>
            <w:vAlign w:val="center"/>
            <w:shd w:fill="1F4E5F"/>
          </w:tcPr>
          <w:p>
            <w:pPr>
              <w:spacing w:after="40"/>
            </w:pPr>
            <w:r>
              <w:rPr>
                <w:rFonts w:ascii="Arial" w:hAnsi="Arial"/>
                <w:sz w:val="17"/>
              </w:rPr>
            </w:r>
            <w:r>
              <w:rPr>
                <w:rFonts w:ascii="Arial" w:hAnsi="Arial"/>
                <w:b/>
                <w:color w:val="FFFFFF"/>
                <w:sz w:val="17"/>
              </w:rPr>
              <w:t>Training Focus</w:t>
            </w:r>
          </w:p>
        </w:tc>
        <w:tc>
          <w:tcPr>
            <w:tcW w:type="dxa" w:w="3360"/>
            <w:vAlign w:val="center"/>
            <w:shd w:fill="1F4E5F"/>
          </w:tcPr>
          <w:p>
            <w:pPr>
              <w:spacing w:after="40"/>
            </w:pPr>
            <w:r>
              <w:rPr>
                <w:rFonts w:ascii="Arial" w:hAnsi="Arial"/>
                <w:sz w:val="17"/>
              </w:rPr>
            </w:r>
            <w:r>
              <w:rPr>
                <w:rFonts w:ascii="Arial" w:hAnsi="Arial"/>
                <w:b/>
                <w:color w:val="FFFFFF"/>
                <w:sz w:val="17"/>
              </w:rPr>
              <w:t>Required Output</w:t>
            </w:r>
          </w:p>
        </w:tc>
      </w:tr>
      <w:tr>
        <w:tc>
          <w:tcPr>
            <w:tcW w:type="dxa" w:w="3360"/>
            <w:vAlign w:val="center"/>
          </w:tcPr>
          <w:p>
            <w:pPr>
              <w:spacing w:after="40"/>
            </w:pPr>
            <w:r>
              <w:rPr>
                <w:rFonts w:ascii="Arial" w:hAnsi="Arial"/>
                <w:sz w:val="17"/>
              </w:rPr>
            </w:r>
            <w:r>
              <w:rPr>
                <w:rFonts w:ascii="Arial" w:hAnsi="Arial"/>
                <w:b w:val="0"/>
                <w:sz w:val="17"/>
              </w:rPr>
              <w:t>1. Concept validation</w:t>
            </w:r>
          </w:p>
        </w:tc>
        <w:tc>
          <w:tcPr>
            <w:tcW w:type="dxa" w:w="3360"/>
            <w:vAlign w:val="center"/>
          </w:tcPr>
          <w:p>
            <w:pPr>
              <w:spacing w:after="40"/>
            </w:pPr>
            <w:r>
              <w:rPr>
                <w:rFonts w:ascii="Arial" w:hAnsi="Arial"/>
                <w:sz w:val="17"/>
              </w:rPr>
            </w:r>
            <w:r>
              <w:rPr>
                <w:rFonts w:ascii="Arial" w:hAnsi="Arial"/>
                <w:b w:val="0"/>
                <w:sz w:val="17"/>
              </w:rPr>
              <w:t>Customer segment, cuisine position, menu promise, competitive set.</w:t>
            </w:r>
          </w:p>
        </w:tc>
        <w:tc>
          <w:tcPr>
            <w:tcW w:type="dxa" w:w="3360"/>
            <w:vAlign w:val="center"/>
          </w:tcPr>
          <w:p>
            <w:pPr>
              <w:spacing w:after="40"/>
            </w:pPr>
            <w:r>
              <w:rPr>
                <w:rFonts w:ascii="Arial" w:hAnsi="Arial"/>
                <w:sz w:val="17"/>
              </w:rPr>
            </w:r>
            <w:r>
              <w:rPr>
                <w:rFonts w:ascii="Arial" w:hAnsi="Arial"/>
                <w:b w:val="0"/>
                <w:sz w:val="17"/>
              </w:rPr>
              <w:t>One-page concept brief.</w:t>
            </w:r>
          </w:p>
        </w:tc>
      </w:tr>
      <w:tr>
        <w:tc>
          <w:tcPr>
            <w:tcW w:type="dxa" w:w="3360"/>
            <w:vAlign w:val="center"/>
          </w:tcPr>
          <w:p>
            <w:pPr>
              <w:spacing w:after="40"/>
            </w:pPr>
            <w:r>
              <w:rPr>
                <w:rFonts w:ascii="Arial" w:hAnsi="Arial"/>
                <w:sz w:val="17"/>
              </w:rPr>
            </w:r>
            <w:r>
              <w:rPr>
                <w:rFonts w:ascii="Arial" w:hAnsi="Arial"/>
                <w:b w:val="0"/>
                <w:sz w:val="17"/>
              </w:rPr>
              <w:t>2. Menu costing</w:t>
            </w:r>
          </w:p>
        </w:tc>
        <w:tc>
          <w:tcPr>
            <w:tcW w:type="dxa" w:w="3360"/>
            <w:vAlign w:val="center"/>
          </w:tcPr>
          <w:p>
            <w:pPr>
              <w:spacing w:after="40"/>
            </w:pPr>
            <w:r>
              <w:rPr>
                <w:rFonts w:ascii="Arial" w:hAnsi="Arial"/>
                <w:sz w:val="17"/>
              </w:rPr>
            </w:r>
            <w:r>
              <w:rPr>
                <w:rFonts w:ascii="Arial" w:hAnsi="Arial"/>
                <w:b w:val="0"/>
                <w:sz w:val="17"/>
              </w:rPr>
              <w:t>Ingredient costing, yield, waste, portion, target food cost.</w:t>
            </w:r>
          </w:p>
        </w:tc>
        <w:tc>
          <w:tcPr>
            <w:tcW w:type="dxa" w:w="3360"/>
            <w:vAlign w:val="center"/>
          </w:tcPr>
          <w:p>
            <w:pPr>
              <w:spacing w:after="40"/>
            </w:pPr>
            <w:r>
              <w:rPr>
                <w:rFonts w:ascii="Arial" w:hAnsi="Arial"/>
                <w:sz w:val="17"/>
              </w:rPr>
            </w:r>
            <w:r>
              <w:rPr>
                <w:rFonts w:ascii="Arial" w:hAnsi="Arial"/>
                <w:b w:val="0"/>
                <w:sz w:val="17"/>
              </w:rPr>
              <w:t>Costed menu worksheet.</w:t>
            </w:r>
          </w:p>
        </w:tc>
      </w:tr>
      <w:tr>
        <w:tc>
          <w:tcPr>
            <w:tcW w:type="dxa" w:w="3360"/>
            <w:vAlign w:val="center"/>
          </w:tcPr>
          <w:p>
            <w:pPr>
              <w:spacing w:after="40"/>
            </w:pPr>
            <w:r>
              <w:rPr>
                <w:rFonts w:ascii="Arial" w:hAnsi="Arial"/>
                <w:sz w:val="17"/>
              </w:rPr>
            </w:r>
            <w:r>
              <w:rPr>
                <w:rFonts w:ascii="Arial" w:hAnsi="Arial"/>
                <w:b w:val="0"/>
                <w:sz w:val="17"/>
              </w:rPr>
              <w:t>3. Pricing and unit economics</w:t>
            </w:r>
          </w:p>
        </w:tc>
        <w:tc>
          <w:tcPr>
            <w:tcW w:type="dxa" w:w="3360"/>
            <w:vAlign w:val="center"/>
          </w:tcPr>
          <w:p>
            <w:pPr>
              <w:spacing w:after="40"/>
            </w:pPr>
            <w:r>
              <w:rPr>
                <w:rFonts w:ascii="Arial" w:hAnsi="Arial"/>
                <w:sz w:val="17"/>
              </w:rPr>
            </w:r>
            <w:r>
              <w:rPr>
                <w:rFonts w:ascii="Arial" w:hAnsi="Arial"/>
                <w:b w:val="0"/>
                <w:sz w:val="17"/>
              </w:rPr>
              <w:t>COGS, labor, packaging, rent burden, taxes, break-even.</w:t>
            </w:r>
          </w:p>
        </w:tc>
        <w:tc>
          <w:tcPr>
            <w:tcW w:type="dxa" w:w="3360"/>
            <w:vAlign w:val="center"/>
          </w:tcPr>
          <w:p>
            <w:pPr>
              <w:spacing w:after="40"/>
            </w:pPr>
            <w:r>
              <w:rPr>
                <w:rFonts w:ascii="Arial" w:hAnsi="Arial"/>
                <w:sz w:val="17"/>
              </w:rPr>
            </w:r>
            <w:r>
              <w:rPr>
                <w:rFonts w:ascii="Arial" w:hAnsi="Arial"/>
                <w:b w:val="0"/>
                <w:sz w:val="17"/>
              </w:rPr>
              <w:t>Basic stall economics model.</w:t>
            </w:r>
          </w:p>
        </w:tc>
      </w:tr>
      <w:tr>
        <w:tc>
          <w:tcPr>
            <w:tcW w:type="dxa" w:w="3360"/>
            <w:vAlign w:val="center"/>
          </w:tcPr>
          <w:p>
            <w:pPr>
              <w:spacing w:after="40"/>
            </w:pPr>
            <w:r>
              <w:rPr>
                <w:rFonts w:ascii="Arial" w:hAnsi="Arial"/>
                <w:sz w:val="17"/>
              </w:rPr>
            </w:r>
            <w:r>
              <w:rPr>
                <w:rFonts w:ascii="Arial" w:hAnsi="Arial"/>
                <w:b w:val="0"/>
                <w:sz w:val="17"/>
              </w:rPr>
              <w:t>4. Food safety and permits</w:t>
            </w:r>
          </w:p>
        </w:tc>
        <w:tc>
          <w:tcPr>
            <w:tcW w:type="dxa" w:w="3360"/>
            <w:vAlign w:val="center"/>
          </w:tcPr>
          <w:p>
            <w:pPr>
              <w:spacing w:after="40"/>
            </w:pPr>
            <w:r>
              <w:rPr>
                <w:rFonts w:ascii="Arial" w:hAnsi="Arial"/>
                <w:sz w:val="17"/>
              </w:rPr>
            </w:r>
            <w:r>
              <w:rPr>
                <w:rFonts w:ascii="Arial" w:hAnsi="Arial"/>
                <w:b w:val="0"/>
                <w:sz w:val="17"/>
              </w:rPr>
              <w:t>Food handler, CFPM awareness, NMED permit path, logs, sanitation.</w:t>
            </w:r>
          </w:p>
        </w:tc>
        <w:tc>
          <w:tcPr>
            <w:tcW w:type="dxa" w:w="3360"/>
            <w:vAlign w:val="center"/>
          </w:tcPr>
          <w:p>
            <w:pPr>
              <w:spacing w:after="40"/>
            </w:pPr>
            <w:r>
              <w:rPr>
                <w:rFonts w:ascii="Arial" w:hAnsi="Arial"/>
                <w:sz w:val="17"/>
              </w:rPr>
            </w:r>
            <w:r>
              <w:rPr>
                <w:rFonts w:ascii="Arial" w:hAnsi="Arial"/>
                <w:b w:val="0"/>
                <w:sz w:val="17"/>
              </w:rPr>
              <w:t>Compliance readiness checklist.</w:t>
            </w:r>
          </w:p>
        </w:tc>
      </w:tr>
      <w:tr>
        <w:tc>
          <w:tcPr>
            <w:tcW w:type="dxa" w:w="3360"/>
            <w:vAlign w:val="center"/>
          </w:tcPr>
          <w:p>
            <w:pPr>
              <w:spacing w:after="40"/>
            </w:pPr>
            <w:r>
              <w:rPr>
                <w:rFonts w:ascii="Arial" w:hAnsi="Arial"/>
                <w:sz w:val="17"/>
              </w:rPr>
            </w:r>
            <w:r>
              <w:rPr>
                <w:rFonts w:ascii="Arial" w:hAnsi="Arial"/>
                <w:b w:val="0"/>
                <w:sz w:val="17"/>
              </w:rPr>
              <w:t>5. Operations workflow</w:t>
            </w:r>
          </w:p>
        </w:tc>
        <w:tc>
          <w:tcPr>
            <w:tcW w:type="dxa" w:w="3360"/>
            <w:vAlign w:val="center"/>
          </w:tcPr>
          <w:p>
            <w:pPr>
              <w:spacing w:after="40"/>
            </w:pPr>
            <w:r>
              <w:rPr>
                <w:rFonts w:ascii="Arial" w:hAnsi="Arial"/>
                <w:sz w:val="17"/>
              </w:rPr>
            </w:r>
            <w:r>
              <w:rPr>
                <w:rFonts w:ascii="Arial" w:hAnsi="Arial"/>
                <w:b w:val="0"/>
                <w:sz w:val="17"/>
              </w:rPr>
              <w:t>Prep plan, batch production, station setup, service timing.</w:t>
            </w:r>
          </w:p>
        </w:tc>
        <w:tc>
          <w:tcPr>
            <w:tcW w:type="dxa" w:w="3360"/>
            <w:vAlign w:val="center"/>
          </w:tcPr>
          <w:p>
            <w:pPr>
              <w:spacing w:after="40"/>
            </w:pPr>
            <w:r>
              <w:rPr>
                <w:rFonts w:ascii="Arial" w:hAnsi="Arial"/>
                <w:sz w:val="17"/>
              </w:rPr>
            </w:r>
            <w:r>
              <w:rPr>
                <w:rFonts w:ascii="Arial" w:hAnsi="Arial"/>
                <w:b w:val="0"/>
                <w:sz w:val="17"/>
              </w:rPr>
              <w:t>Production/prep sheet.</w:t>
            </w:r>
          </w:p>
        </w:tc>
      </w:tr>
      <w:tr>
        <w:tc>
          <w:tcPr>
            <w:tcW w:type="dxa" w:w="3360"/>
            <w:vAlign w:val="center"/>
          </w:tcPr>
          <w:p>
            <w:pPr>
              <w:spacing w:after="40"/>
            </w:pPr>
            <w:r>
              <w:rPr>
                <w:rFonts w:ascii="Arial" w:hAnsi="Arial"/>
                <w:sz w:val="17"/>
              </w:rPr>
            </w:r>
            <w:r>
              <w:rPr>
                <w:rFonts w:ascii="Arial" w:hAnsi="Arial"/>
                <w:b w:val="0"/>
                <w:sz w:val="17"/>
              </w:rPr>
              <w:t>6. Branding and customer experience</w:t>
            </w:r>
          </w:p>
        </w:tc>
        <w:tc>
          <w:tcPr>
            <w:tcW w:type="dxa" w:w="3360"/>
            <w:vAlign w:val="center"/>
          </w:tcPr>
          <w:p>
            <w:pPr>
              <w:spacing w:after="40"/>
            </w:pPr>
            <w:r>
              <w:rPr>
                <w:rFonts w:ascii="Arial" w:hAnsi="Arial"/>
                <w:sz w:val="17"/>
              </w:rPr>
            </w:r>
            <w:r>
              <w:rPr>
                <w:rFonts w:ascii="Arial" w:hAnsi="Arial"/>
                <w:b w:val="0"/>
                <w:sz w:val="17"/>
              </w:rPr>
              <w:t>Name, menu language, signage, packaging, guest promise.</w:t>
            </w:r>
          </w:p>
        </w:tc>
        <w:tc>
          <w:tcPr>
            <w:tcW w:type="dxa" w:w="3360"/>
            <w:vAlign w:val="center"/>
          </w:tcPr>
          <w:p>
            <w:pPr>
              <w:spacing w:after="40"/>
            </w:pPr>
            <w:r>
              <w:rPr>
                <w:rFonts w:ascii="Arial" w:hAnsi="Arial"/>
                <w:sz w:val="17"/>
              </w:rPr>
            </w:r>
            <w:r>
              <w:rPr>
                <w:rFonts w:ascii="Arial" w:hAnsi="Arial"/>
                <w:b w:val="0"/>
                <w:sz w:val="17"/>
              </w:rPr>
              <w:t>Draft brand/menu package.</w:t>
            </w:r>
          </w:p>
        </w:tc>
      </w:tr>
      <w:tr>
        <w:tc>
          <w:tcPr>
            <w:tcW w:type="dxa" w:w="3360"/>
            <w:vAlign w:val="center"/>
          </w:tcPr>
          <w:p>
            <w:pPr>
              <w:spacing w:after="40"/>
            </w:pPr>
            <w:r>
              <w:rPr>
                <w:rFonts w:ascii="Arial" w:hAnsi="Arial"/>
                <w:sz w:val="17"/>
              </w:rPr>
            </w:r>
            <w:r>
              <w:rPr>
                <w:rFonts w:ascii="Arial" w:hAnsi="Arial"/>
                <w:b w:val="0"/>
                <w:sz w:val="17"/>
              </w:rPr>
              <w:t>7. POS, bookkeeping, and tax basics</w:t>
            </w:r>
          </w:p>
        </w:tc>
        <w:tc>
          <w:tcPr>
            <w:tcW w:type="dxa" w:w="3360"/>
            <w:vAlign w:val="center"/>
          </w:tcPr>
          <w:p>
            <w:pPr>
              <w:spacing w:after="40"/>
            </w:pPr>
            <w:r>
              <w:rPr>
                <w:rFonts w:ascii="Arial" w:hAnsi="Arial"/>
                <w:sz w:val="17"/>
              </w:rPr>
            </w:r>
            <w:r>
              <w:rPr>
                <w:rFonts w:ascii="Arial" w:hAnsi="Arial"/>
                <w:b w:val="0"/>
                <w:sz w:val="17"/>
              </w:rPr>
              <w:t>Sales reporting, GRT awareness, payment processing, records.</w:t>
            </w:r>
          </w:p>
        </w:tc>
        <w:tc>
          <w:tcPr>
            <w:tcW w:type="dxa" w:w="3360"/>
            <w:vAlign w:val="center"/>
          </w:tcPr>
          <w:p>
            <w:pPr>
              <w:spacing w:after="40"/>
            </w:pPr>
            <w:r>
              <w:rPr>
                <w:rFonts w:ascii="Arial" w:hAnsi="Arial"/>
                <w:sz w:val="17"/>
              </w:rPr>
            </w:r>
            <w:r>
              <w:rPr>
                <w:rFonts w:ascii="Arial" w:hAnsi="Arial"/>
                <w:b w:val="0"/>
                <w:sz w:val="17"/>
              </w:rPr>
              <w:t>Reporting workflow and chart of accounts starter.</w:t>
            </w:r>
          </w:p>
        </w:tc>
      </w:tr>
      <w:tr>
        <w:tc>
          <w:tcPr>
            <w:tcW w:type="dxa" w:w="3360"/>
            <w:vAlign w:val="center"/>
          </w:tcPr>
          <w:p>
            <w:pPr>
              <w:spacing w:after="40"/>
            </w:pPr>
            <w:r>
              <w:rPr>
                <w:rFonts w:ascii="Arial" w:hAnsi="Arial"/>
                <w:sz w:val="17"/>
              </w:rPr>
            </w:r>
            <w:r>
              <w:rPr>
                <w:rFonts w:ascii="Arial" w:hAnsi="Arial"/>
                <w:b w:val="0"/>
                <w:sz w:val="17"/>
              </w:rPr>
              <w:t>8. Staffing and service</w:t>
            </w:r>
          </w:p>
        </w:tc>
        <w:tc>
          <w:tcPr>
            <w:tcW w:type="dxa" w:w="3360"/>
            <w:vAlign w:val="center"/>
          </w:tcPr>
          <w:p>
            <w:pPr>
              <w:spacing w:after="40"/>
            </w:pPr>
            <w:r>
              <w:rPr>
                <w:rFonts w:ascii="Arial" w:hAnsi="Arial"/>
                <w:sz w:val="17"/>
              </w:rPr>
            </w:r>
            <w:r>
              <w:rPr>
                <w:rFonts w:ascii="Arial" w:hAnsi="Arial"/>
                <w:b w:val="0"/>
                <w:sz w:val="17"/>
              </w:rPr>
              <w:t>Scheduling, training, station roles, customer recovery.</w:t>
            </w:r>
          </w:p>
        </w:tc>
        <w:tc>
          <w:tcPr>
            <w:tcW w:type="dxa" w:w="3360"/>
            <w:vAlign w:val="center"/>
          </w:tcPr>
          <w:p>
            <w:pPr>
              <w:spacing w:after="40"/>
            </w:pPr>
            <w:r>
              <w:rPr>
                <w:rFonts w:ascii="Arial" w:hAnsi="Arial"/>
                <w:sz w:val="17"/>
              </w:rPr>
            </w:r>
            <w:r>
              <w:rPr>
                <w:rFonts w:ascii="Arial" w:hAnsi="Arial"/>
                <w:b w:val="0"/>
                <w:sz w:val="17"/>
              </w:rPr>
              <w:t>Staffing and service plan.</w:t>
            </w:r>
          </w:p>
        </w:tc>
      </w:tr>
      <w:tr>
        <w:tc>
          <w:tcPr>
            <w:tcW w:type="dxa" w:w="3360"/>
            <w:vAlign w:val="center"/>
          </w:tcPr>
          <w:p>
            <w:pPr>
              <w:spacing w:after="40"/>
            </w:pPr>
            <w:r>
              <w:rPr>
                <w:rFonts w:ascii="Arial" w:hAnsi="Arial"/>
                <w:sz w:val="17"/>
              </w:rPr>
            </w:r>
            <w:r>
              <w:rPr>
                <w:rFonts w:ascii="Arial" w:hAnsi="Arial"/>
                <w:b w:val="0"/>
                <w:sz w:val="17"/>
              </w:rPr>
              <w:t>9. Pop-up proof test</w:t>
            </w:r>
          </w:p>
        </w:tc>
        <w:tc>
          <w:tcPr>
            <w:tcW w:type="dxa" w:w="3360"/>
            <w:vAlign w:val="center"/>
          </w:tcPr>
          <w:p>
            <w:pPr>
              <w:spacing w:after="40"/>
            </w:pPr>
            <w:r>
              <w:rPr>
                <w:rFonts w:ascii="Arial" w:hAnsi="Arial"/>
                <w:sz w:val="17"/>
              </w:rPr>
            </w:r>
            <w:r>
              <w:rPr>
                <w:rFonts w:ascii="Arial" w:hAnsi="Arial"/>
                <w:b w:val="0"/>
                <w:sz w:val="17"/>
              </w:rPr>
              <w:t>Live customer test, feedback, sales, speed, quality.</w:t>
            </w:r>
          </w:p>
        </w:tc>
        <w:tc>
          <w:tcPr>
            <w:tcW w:type="dxa" w:w="3360"/>
            <w:vAlign w:val="center"/>
          </w:tcPr>
          <w:p>
            <w:pPr>
              <w:spacing w:after="40"/>
            </w:pPr>
            <w:r>
              <w:rPr>
                <w:rFonts w:ascii="Arial" w:hAnsi="Arial"/>
                <w:sz w:val="17"/>
              </w:rPr>
            </w:r>
            <w:r>
              <w:rPr>
                <w:rFonts w:ascii="Arial" w:hAnsi="Arial"/>
                <w:b w:val="0"/>
                <w:sz w:val="17"/>
              </w:rPr>
              <w:t>Proof-event report.</w:t>
            </w:r>
          </w:p>
        </w:tc>
      </w:tr>
      <w:tr>
        <w:tc>
          <w:tcPr>
            <w:tcW w:type="dxa" w:w="3360"/>
            <w:vAlign w:val="center"/>
          </w:tcPr>
          <w:p>
            <w:pPr>
              <w:spacing w:after="40"/>
            </w:pPr>
            <w:r>
              <w:rPr>
                <w:rFonts w:ascii="Arial" w:hAnsi="Arial"/>
                <w:sz w:val="17"/>
              </w:rPr>
            </w:r>
            <w:r>
              <w:rPr>
                <w:rFonts w:ascii="Arial" w:hAnsi="Arial"/>
                <w:b w:val="0"/>
                <w:sz w:val="17"/>
              </w:rPr>
              <w:t>10. Capital readiness</w:t>
            </w:r>
          </w:p>
        </w:tc>
        <w:tc>
          <w:tcPr>
            <w:tcW w:type="dxa" w:w="3360"/>
            <w:vAlign w:val="center"/>
          </w:tcPr>
          <w:p>
            <w:pPr>
              <w:spacing w:after="40"/>
            </w:pPr>
            <w:r>
              <w:rPr>
                <w:rFonts w:ascii="Arial" w:hAnsi="Arial"/>
                <w:sz w:val="17"/>
              </w:rPr>
            </w:r>
            <w:r>
              <w:rPr>
                <w:rFonts w:ascii="Arial" w:hAnsi="Arial"/>
                <w:b w:val="0"/>
                <w:sz w:val="17"/>
              </w:rPr>
              <w:t>Startup budget, working capital, grants/lenders, pitch basics.</w:t>
            </w:r>
          </w:p>
        </w:tc>
        <w:tc>
          <w:tcPr>
            <w:tcW w:type="dxa" w:w="3360"/>
            <w:vAlign w:val="center"/>
          </w:tcPr>
          <w:p>
            <w:pPr>
              <w:spacing w:after="40"/>
            </w:pPr>
            <w:r>
              <w:rPr>
                <w:rFonts w:ascii="Arial" w:hAnsi="Arial"/>
                <w:sz w:val="17"/>
              </w:rPr>
            </w:r>
            <w:r>
              <w:rPr>
                <w:rFonts w:ascii="Arial" w:hAnsi="Arial"/>
                <w:b w:val="0"/>
                <w:sz w:val="17"/>
              </w:rPr>
              <w:t>Capital needs summary.</w:t>
            </w:r>
          </w:p>
        </w:tc>
      </w:tr>
      <w:tr>
        <w:tc>
          <w:tcPr>
            <w:tcW w:type="dxa" w:w="3360"/>
            <w:vAlign w:val="center"/>
          </w:tcPr>
          <w:p>
            <w:pPr>
              <w:spacing w:after="40"/>
            </w:pPr>
            <w:r>
              <w:rPr>
                <w:rFonts w:ascii="Arial" w:hAnsi="Arial"/>
                <w:sz w:val="17"/>
              </w:rPr>
            </w:r>
            <w:r>
              <w:rPr>
                <w:rFonts w:ascii="Arial" w:hAnsi="Arial"/>
                <w:b w:val="0"/>
                <w:sz w:val="17"/>
              </w:rPr>
              <w:t>11. Compliance and license review</w:t>
            </w:r>
          </w:p>
        </w:tc>
        <w:tc>
          <w:tcPr>
            <w:tcW w:type="dxa" w:w="3360"/>
            <w:vAlign w:val="center"/>
          </w:tcPr>
          <w:p>
            <w:pPr>
              <w:spacing w:after="40"/>
            </w:pPr>
            <w:r>
              <w:rPr>
                <w:rFonts w:ascii="Arial" w:hAnsi="Arial"/>
                <w:sz w:val="17"/>
              </w:rPr>
            </w:r>
            <w:r>
              <w:rPr>
                <w:rFonts w:ascii="Arial" w:hAnsi="Arial"/>
                <w:b w:val="0"/>
                <w:sz w:val="17"/>
              </w:rPr>
              <w:t>Vendor agreement, insurance, storage, retail shelf, house rules.</w:t>
            </w:r>
          </w:p>
        </w:tc>
        <w:tc>
          <w:tcPr>
            <w:tcW w:type="dxa" w:w="3360"/>
            <w:vAlign w:val="center"/>
          </w:tcPr>
          <w:p>
            <w:pPr>
              <w:spacing w:after="40"/>
            </w:pPr>
            <w:r>
              <w:rPr>
                <w:rFonts w:ascii="Arial" w:hAnsi="Arial"/>
                <w:sz w:val="17"/>
              </w:rPr>
            </w:r>
            <w:r>
              <w:rPr>
                <w:rFonts w:ascii="Arial" w:hAnsi="Arial"/>
                <w:b w:val="0"/>
                <w:sz w:val="17"/>
              </w:rPr>
              <w:t>Onboarding file draft.</w:t>
            </w:r>
          </w:p>
        </w:tc>
      </w:tr>
      <w:tr>
        <w:tc>
          <w:tcPr>
            <w:tcW w:type="dxa" w:w="3360"/>
            <w:vAlign w:val="center"/>
          </w:tcPr>
          <w:p>
            <w:pPr>
              <w:spacing w:after="40"/>
            </w:pPr>
            <w:r>
              <w:rPr>
                <w:rFonts w:ascii="Arial" w:hAnsi="Arial"/>
                <w:sz w:val="17"/>
              </w:rPr>
            </w:r>
            <w:r>
              <w:rPr>
                <w:rFonts w:ascii="Arial" w:hAnsi="Arial"/>
                <w:b w:val="0"/>
                <w:sz w:val="17"/>
              </w:rPr>
              <w:t>12. Launch pitch</w:t>
            </w:r>
          </w:p>
        </w:tc>
        <w:tc>
          <w:tcPr>
            <w:tcW w:type="dxa" w:w="3360"/>
            <w:vAlign w:val="center"/>
          </w:tcPr>
          <w:p>
            <w:pPr>
              <w:spacing w:after="40"/>
            </w:pPr>
            <w:r>
              <w:rPr>
                <w:rFonts w:ascii="Arial" w:hAnsi="Arial"/>
                <w:sz w:val="17"/>
              </w:rPr>
            </w:r>
            <w:r>
              <w:rPr>
                <w:rFonts w:ascii="Arial" w:hAnsi="Arial"/>
                <w:b w:val="0"/>
                <w:sz w:val="17"/>
              </w:rPr>
              <w:t>Final concept, numbers, operations, risks, support requested.</w:t>
            </w:r>
          </w:p>
        </w:tc>
        <w:tc>
          <w:tcPr>
            <w:tcW w:type="dxa" w:w="3360"/>
            <w:vAlign w:val="center"/>
          </w:tcPr>
          <w:p>
            <w:pPr>
              <w:spacing w:after="40"/>
            </w:pPr>
            <w:r>
              <w:rPr>
                <w:rFonts w:ascii="Arial" w:hAnsi="Arial"/>
                <w:sz w:val="17"/>
              </w:rPr>
            </w:r>
            <w:r>
              <w:rPr>
                <w:rFonts w:ascii="Arial" w:hAnsi="Arial"/>
                <w:b w:val="0"/>
                <w:sz w:val="17"/>
              </w:rPr>
              <w:t>Launch-readiness presentation.</w:t>
            </w:r>
          </w:p>
        </w:tc>
      </w:tr>
    </w:tbl>
    <w:p/>
    <w:p>
      <w:pPr>
        <w:pStyle w:val="Heading1"/>
      </w:pPr>
      <w:r>
        <w:t>4. Day-to-Day Hall Operations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Workflow</w:t>
            </w:r>
          </w:p>
        </w:tc>
        <w:tc>
          <w:tcPr>
            <w:tcW w:type="dxa" w:w="3360"/>
            <w:vAlign w:val="center"/>
            <w:shd w:fill="1F4E5F"/>
          </w:tcPr>
          <w:p>
            <w:pPr>
              <w:spacing w:after="40"/>
            </w:pPr>
            <w:r>
              <w:rPr>
                <w:rFonts w:ascii="Arial" w:hAnsi="Arial"/>
                <w:sz w:val="17"/>
              </w:rPr>
            </w:r>
            <w:r>
              <w:rPr>
                <w:rFonts w:ascii="Arial" w:hAnsi="Arial"/>
                <w:b/>
                <w:color w:val="FFFFFF"/>
                <w:sz w:val="17"/>
              </w:rPr>
              <w:t>Steps</w:t>
            </w:r>
          </w:p>
        </w:tc>
        <w:tc>
          <w:tcPr>
            <w:tcW w:type="dxa" w:w="3360"/>
            <w:vAlign w:val="center"/>
            <w:shd w:fill="1F4E5F"/>
          </w:tcPr>
          <w:p>
            <w:pPr>
              <w:spacing w:after="40"/>
            </w:pPr>
            <w:r>
              <w:rPr>
                <w:rFonts w:ascii="Arial" w:hAnsi="Arial"/>
                <w:sz w:val="17"/>
              </w:rPr>
            </w:r>
            <w:r>
              <w:rPr>
                <w:rFonts w:ascii="Arial" w:hAnsi="Arial"/>
                <w:b/>
                <w:color w:val="FFFFFF"/>
                <w:sz w:val="17"/>
              </w:rPr>
              <w:t>Owner</w:t>
            </w:r>
          </w:p>
        </w:tc>
      </w:tr>
      <w:tr>
        <w:tc>
          <w:tcPr>
            <w:tcW w:type="dxa" w:w="3360"/>
            <w:vAlign w:val="center"/>
          </w:tcPr>
          <w:p>
            <w:pPr>
              <w:spacing w:after="40"/>
            </w:pPr>
            <w:r>
              <w:rPr>
                <w:rFonts w:ascii="Arial" w:hAnsi="Arial"/>
                <w:sz w:val="17"/>
              </w:rPr>
            </w:r>
            <w:r>
              <w:rPr>
                <w:rFonts w:ascii="Arial" w:hAnsi="Arial"/>
                <w:b w:val="0"/>
                <w:sz w:val="17"/>
              </w:rPr>
              <w:t>Opening</w:t>
            </w:r>
          </w:p>
        </w:tc>
        <w:tc>
          <w:tcPr>
            <w:tcW w:type="dxa" w:w="3360"/>
            <w:vAlign w:val="center"/>
          </w:tcPr>
          <w:p>
            <w:pPr>
              <w:spacing w:after="40"/>
            </w:pPr>
            <w:r>
              <w:rPr>
                <w:rFonts w:ascii="Arial" w:hAnsi="Arial"/>
                <w:sz w:val="17"/>
              </w:rPr>
            </w:r>
            <w:r>
              <w:rPr>
                <w:rFonts w:ascii="Arial" w:hAnsi="Arial"/>
                <w:b w:val="0"/>
                <w:sz w:val="17"/>
              </w:rPr>
              <w:t>Unlock, security check, common areas, restrooms, utilities, vendor readiness, POS, music/signage, event notes.</w:t>
            </w:r>
          </w:p>
        </w:tc>
        <w:tc>
          <w:tcPr>
            <w:tcW w:type="dxa" w:w="3360"/>
            <w:vAlign w:val="center"/>
          </w:tcPr>
          <w:p>
            <w:pPr>
              <w:spacing w:after="40"/>
            </w:pPr>
            <w:r>
              <w:rPr>
                <w:rFonts w:ascii="Arial" w:hAnsi="Arial"/>
                <w:sz w:val="17"/>
              </w:rPr>
            </w:r>
            <w:r>
              <w:rPr>
                <w:rFonts w:ascii="Arial" w:hAnsi="Arial"/>
                <w:b w:val="0"/>
                <w:sz w:val="17"/>
              </w:rPr>
              <w:t>Hall Manager</w:t>
            </w:r>
          </w:p>
        </w:tc>
      </w:tr>
      <w:tr>
        <w:tc>
          <w:tcPr>
            <w:tcW w:type="dxa" w:w="3360"/>
            <w:vAlign w:val="center"/>
          </w:tcPr>
          <w:p>
            <w:pPr>
              <w:spacing w:after="40"/>
            </w:pPr>
            <w:r>
              <w:rPr>
                <w:rFonts w:ascii="Arial" w:hAnsi="Arial"/>
                <w:sz w:val="17"/>
              </w:rPr>
            </w:r>
            <w:r>
              <w:rPr>
                <w:rFonts w:ascii="Arial" w:hAnsi="Arial"/>
                <w:b w:val="0"/>
                <w:sz w:val="17"/>
              </w:rPr>
              <w:t>Vendor readiness</w:t>
            </w:r>
          </w:p>
        </w:tc>
        <w:tc>
          <w:tcPr>
            <w:tcW w:type="dxa" w:w="3360"/>
            <w:vAlign w:val="center"/>
          </w:tcPr>
          <w:p>
            <w:pPr>
              <w:spacing w:after="40"/>
            </w:pPr>
            <w:r>
              <w:rPr>
                <w:rFonts w:ascii="Arial" w:hAnsi="Arial"/>
                <w:sz w:val="17"/>
              </w:rPr>
            </w:r>
            <w:r>
              <w:rPr>
                <w:rFonts w:ascii="Arial" w:hAnsi="Arial"/>
                <w:b w:val="0"/>
                <w:sz w:val="17"/>
              </w:rPr>
              <w:t>Confirm staffing, menu availability, station cleanliness, storage, labels, permits/training files where needed.</w:t>
            </w:r>
          </w:p>
        </w:tc>
        <w:tc>
          <w:tcPr>
            <w:tcW w:type="dxa" w:w="3360"/>
            <w:vAlign w:val="center"/>
          </w:tcPr>
          <w:p>
            <w:pPr>
              <w:spacing w:after="40"/>
            </w:pPr>
            <w:r>
              <w:rPr>
                <w:rFonts w:ascii="Arial" w:hAnsi="Arial"/>
                <w:sz w:val="17"/>
              </w:rPr>
            </w:r>
            <w:r>
              <w:rPr>
                <w:rFonts w:ascii="Arial" w:hAnsi="Arial"/>
                <w:b w:val="0"/>
                <w:sz w:val="17"/>
              </w:rPr>
              <w:t>Operations Manager</w:t>
            </w:r>
          </w:p>
        </w:tc>
      </w:tr>
      <w:tr>
        <w:tc>
          <w:tcPr>
            <w:tcW w:type="dxa" w:w="3360"/>
            <w:vAlign w:val="center"/>
          </w:tcPr>
          <w:p>
            <w:pPr>
              <w:spacing w:after="40"/>
            </w:pPr>
            <w:r>
              <w:rPr>
                <w:rFonts w:ascii="Arial" w:hAnsi="Arial"/>
                <w:sz w:val="17"/>
              </w:rPr>
            </w:r>
            <w:r>
              <w:rPr>
                <w:rFonts w:ascii="Arial" w:hAnsi="Arial"/>
                <w:b w:val="0"/>
                <w:sz w:val="17"/>
              </w:rPr>
              <w:t>Service</w:t>
            </w:r>
          </w:p>
        </w:tc>
        <w:tc>
          <w:tcPr>
            <w:tcW w:type="dxa" w:w="3360"/>
            <w:vAlign w:val="center"/>
          </w:tcPr>
          <w:p>
            <w:pPr>
              <w:spacing w:after="40"/>
            </w:pPr>
            <w:r>
              <w:rPr>
                <w:rFonts w:ascii="Arial" w:hAnsi="Arial"/>
                <w:sz w:val="17"/>
              </w:rPr>
            </w:r>
            <w:r>
              <w:rPr>
                <w:rFonts w:ascii="Arial" w:hAnsi="Arial"/>
                <w:b w:val="0"/>
                <w:sz w:val="17"/>
              </w:rPr>
              <w:t>Monitor customer flow, queues, cleanliness, refunds, incidents, vendor support, shared utilities.</w:t>
            </w:r>
          </w:p>
        </w:tc>
        <w:tc>
          <w:tcPr>
            <w:tcW w:type="dxa" w:w="3360"/>
            <w:vAlign w:val="center"/>
          </w:tcPr>
          <w:p>
            <w:pPr>
              <w:spacing w:after="40"/>
            </w:pPr>
            <w:r>
              <w:rPr>
                <w:rFonts w:ascii="Arial" w:hAnsi="Arial"/>
                <w:sz w:val="17"/>
              </w:rPr>
            </w:r>
            <w:r>
              <w:rPr>
                <w:rFonts w:ascii="Arial" w:hAnsi="Arial"/>
                <w:b w:val="0"/>
                <w:sz w:val="17"/>
              </w:rPr>
              <w:t>Floor Lead</w:t>
            </w:r>
          </w:p>
        </w:tc>
      </w:tr>
      <w:tr>
        <w:tc>
          <w:tcPr>
            <w:tcW w:type="dxa" w:w="3360"/>
            <w:vAlign w:val="center"/>
          </w:tcPr>
          <w:p>
            <w:pPr>
              <w:spacing w:after="40"/>
            </w:pPr>
            <w:r>
              <w:rPr>
                <w:rFonts w:ascii="Arial" w:hAnsi="Arial"/>
                <w:sz w:val="17"/>
              </w:rPr>
            </w:r>
            <w:r>
              <w:rPr>
                <w:rFonts w:ascii="Arial" w:hAnsi="Arial"/>
                <w:b w:val="0"/>
                <w:sz w:val="17"/>
              </w:rPr>
              <w:t>Shared services</w:t>
            </w:r>
          </w:p>
        </w:tc>
        <w:tc>
          <w:tcPr>
            <w:tcW w:type="dxa" w:w="3360"/>
            <w:vAlign w:val="center"/>
          </w:tcPr>
          <w:p>
            <w:pPr>
              <w:spacing w:after="40"/>
            </w:pPr>
            <w:r>
              <w:rPr>
                <w:rFonts w:ascii="Arial" w:hAnsi="Arial"/>
                <w:sz w:val="17"/>
              </w:rPr>
            </w:r>
            <w:r>
              <w:rPr>
                <w:rFonts w:ascii="Arial" w:hAnsi="Arial"/>
                <w:b w:val="0"/>
                <w:sz w:val="17"/>
              </w:rPr>
              <w:t>Dish, trash, grease, storage, refrigeration, receiving windows, maintenance requests.</w:t>
            </w:r>
          </w:p>
        </w:tc>
        <w:tc>
          <w:tcPr>
            <w:tcW w:type="dxa" w:w="3360"/>
            <w:vAlign w:val="center"/>
          </w:tcPr>
          <w:p>
            <w:pPr>
              <w:spacing w:after="40"/>
            </w:pPr>
            <w:r>
              <w:rPr>
                <w:rFonts w:ascii="Arial" w:hAnsi="Arial"/>
                <w:sz w:val="17"/>
              </w:rPr>
            </w:r>
            <w:r>
              <w:rPr>
                <w:rFonts w:ascii="Arial" w:hAnsi="Arial"/>
                <w:b w:val="0"/>
                <w:sz w:val="17"/>
              </w:rPr>
              <w:t>Facilities / Stewarding</w:t>
            </w:r>
          </w:p>
        </w:tc>
      </w:tr>
      <w:tr>
        <w:tc>
          <w:tcPr>
            <w:tcW w:type="dxa" w:w="3360"/>
            <w:vAlign w:val="center"/>
          </w:tcPr>
          <w:p>
            <w:pPr>
              <w:spacing w:after="40"/>
            </w:pPr>
            <w:r>
              <w:rPr>
                <w:rFonts w:ascii="Arial" w:hAnsi="Arial"/>
                <w:sz w:val="17"/>
              </w:rPr>
            </w:r>
            <w:r>
              <w:rPr>
                <w:rFonts w:ascii="Arial" w:hAnsi="Arial"/>
                <w:b w:val="0"/>
                <w:sz w:val="17"/>
              </w:rPr>
              <w:t>Event-day operations</w:t>
            </w:r>
          </w:p>
        </w:tc>
        <w:tc>
          <w:tcPr>
            <w:tcW w:type="dxa" w:w="3360"/>
            <w:vAlign w:val="center"/>
          </w:tcPr>
          <w:p>
            <w:pPr>
              <w:spacing w:after="40"/>
            </w:pPr>
            <w:r>
              <w:rPr>
                <w:rFonts w:ascii="Arial" w:hAnsi="Arial"/>
                <w:sz w:val="17"/>
              </w:rPr>
            </w:r>
            <w:r>
              <w:rPr>
                <w:rFonts w:ascii="Arial" w:hAnsi="Arial"/>
                <w:b w:val="0"/>
                <w:sz w:val="17"/>
              </w:rPr>
              <w:t>Run-of-show, vendor load-in, temporary permits if needed, sponsor needs, security, cleaning, sales capture.</w:t>
            </w:r>
          </w:p>
        </w:tc>
        <w:tc>
          <w:tcPr>
            <w:tcW w:type="dxa" w:w="3360"/>
            <w:vAlign w:val="center"/>
          </w:tcPr>
          <w:p>
            <w:pPr>
              <w:spacing w:after="40"/>
            </w:pPr>
            <w:r>
              <w:rPr>
                <w:rFonts w:ascii="Arial" w:hAnsi="Arial"/>
                <w:sz w:val="17"/>
              </w:rPr>
            </w:r>
            <w:r>
              <w:rPr>
                <w:rFonts w:ascii="Arial" w:hAnsi="Arial"/>
                <w:b w:val="0"/>
                <w:sz w:val="17"/>
              </w:rPr>
              <w:t>Events Lead</w:t>
            </w:r>
          </w:p>
        </w:tc>
      </w:tr>
      <w:tr>
        <w:tc>
          <w:tcPr>
            <w:tcW w:type="dxa" w:w="3360"/>
            <w:vAlign w:val="center"/>
          </w:tcPr>
          <w:p>
            <w:pPr>
              <w:spacing w:after="40"/>
            </w:pPr>
            <w:r>
              <w:rPr>
                <w:rFonts w:ascii="Arial" w:hAnsi="Arial"/>
                <w:sz w:val="17"/>
              </w:rPr>
            </w:r>
            <w:r>
              <w:rPr>
                <w:rFonts w:ascii="Arial" w:hAnsi="Arial"/>
                <w:b w:val="0"/>
                <w:sz w:val="17"/>
              </w:rPr>
              <w:t>Closing</w:t>
            </w:r>
          </w:p>
        </w:tc>
        <w:tc>
          <w:tcPr>
            <w:tcW w:type="dxa" w:w="3360"/>
            <w:vAlign w:val="center"/>
          </w:tcPr>
          <w:p>
            <w:pPr>
              <w:spacing w:after="40"/>
            </w:pPr>
            <w:r>
              <w:rPr>
                <w:rFonts w:ascii="Arial" w:hAnsi="Arial"/>
                <w:sz w:val="17"/>
              </w:rPr>
            </w:r>
            <w:r>
              <w:rPr>
                <w:rFonts w:ascii="Arial" w:hAnsi="Arial"/>
                <w:b w:val="0"/>
                <w:sz w:val="17"/>
              </w:rPr>
              <w:t>Vendor closeout, POS reports, cleaning verification, trash/grease, security, incident log, next-day notes.</w:t>
            </w:r>
          </w:p>
        </w:tc>
        <w:tc>
          <w:tcPr>
            <w:tcW w:type="dxa" w:w="3360"/>
            <w:vAlign w:val="center"/>
          </w:tcPr>
          <w:p>
            <w:pPr>
              <w:spacing w:after="40"/>
            </w:pPr>
            <w:r>
              <w:rPr>
                <w:rFonts w:ascii="Arial" w:hAnsi="Arial"/>
                <w:sz w:val="17"/>
              </w:rPr>
            </w:r>
            <w:r>
              <w:rPr>
                <w:rFonts w:ascii="Arial" w:hAnsi="Arial"/>
                <w:b w:val="0"/>
                <w:sz w:val="17"/>
              </w:rPr>
              <w:t>Hall Manager</w:t>
            </w:r>
          </w:p>
        </w:tc>
      </w:tr>
    </w:tbl>
    <w:p/>
    <w:p>
      <w:pPr>
        <w:pStyle w:val="Heading2"/>
      </w:pPr>
      <w:r>
        <w:t>4.1 House Rules and Shared Services</w:t>
      </w:r>
    </w:p>
    <w:p>
      <w:pPr>
        <w:pStyle w:val="ListBullet"/>
      </w:pPr>
      <w:r>
        <w:t>Vendors may not alter menu, equipment, signage, hours, pricing structure, or retail products without required approval.</w:t>
      </w:r>
    </w:p>
    <w:p>
      <w:pPr>
        <w:pStyle w:val="ListBullet"/>
      </w:pPr>
      <w:r>
        <w:t>All products must be labeled with vendor, date, identity, and use-by information where applicable.</w:t>
      </w:r>
    </w:p>
    <w:p>
      <w:pPr>
        <w:pStyle w:val="ListBullet"/>
      </w:pPr>
      <w:r>
        <w:t>Shared storage, dish, receiving, commissary, and event areas must be reserved or used according to posted rules.</w:t>
      </w:r>
    </w:p>
    <w:p>
      <w:pPr>
        <w:pStyle w:val="ListBullet"/>
      </w:pPr>
      <w:r>
        <w:t>Vendors are responsible for cleaning their assigned stalls and any shared equipment after use.</w:t>
      </w:r>
    </w:p>
    <w:p>
      <w:pPr>
        <w:pStyle w:val="ListBullet"/>
      </w:pPr>
      <w:r>
        <w:t>Guest complaints, suspected foodborne illness, alcohol incidents, injuries, and safety concerns must be reported immediately.</w:t>
      </w:r>
    </w:p>
    <w:p>
      <w:pPr>
        <w:pStyle w:val="ListBullet"/>
      </w:pPr>
      <w:r>
        <w:t>Repeated failure to submit sales reports, maintain cleanliness, follow compliance rules, or attend reviews triggers corrective action.</w:t>
      </w:r>
    </w:p>
    <w:p>
      <w:pPr>
        <w:pStyle w:val="Heading1"/>
      </w:pPr>
      <w:r>
        <w:t>5. Program Infrastructure and Governance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Governance Tool</w:t>
            </w:r>
          </w:p>
        </w:tc>
        <w:tc>
          <w:tcPr>
            <w:tcW w:type="dxa" w:w="3360"/>
            <w:vAlign w:val="center"/>
            <w:shd w:fill="1F4E5F"/>
          </w:tcPr>
          <w:p>
            <w:pPr>
              <w:spacing w:after="40"/>
            </w:pPr>
            <w:r>
              <w:rPr>
                <w:rFonts w:ascii="Arial" w:hAnsi="Arial"/>
                <w:sz w:val="17"/>
              </w:rPr>
            </w:r>
            <w:r>
              <w:rPr>
                <w:rFonts w:ascii="Arial" w:hAnsi="Arial"/>
                <w:b/>
                <w:color w:val="FFFFFF"/>
                <w:sz w:val="17"/>
              </w:rPr>
              <w:t>Purpose</w:t>
            </w:r>
          </w:p>
        </w:tc>
        <w:tc>
          <w:tcPr>
            <w:tcW w:type="dxa" w:w="3360"/>
            <w:vAlign w:val="center"/>
            <w:shd w:fill="1F4E5F"/>
          </w:tcPr>
          <w:p>
            <w:pPr>
              <w:spacing w:after="40"/>
            </w:pPr>
            <w:r>
              <w:rPr>
                <w:rFonts w:ascii="Arial" w:hAnsi="Arial"/>
                <w:sz w:val="17"/>
              </w:rPr>
            </w:r>
            <w:r>
              <w:rPr>
                <w:rFonts w:ascii="Arial" w:hAnsi="Arial"/>
                <w:b/>
                <w:color w:val="FFFFFF"/>
                <w:sz w:val="17"/>
              </w:rPr>
              <w:t>Cadence / Owner</w:t>
            </w:r>
          </w:p>
        </w:tc>
      </w:tr>
      <w:tr>
        <w:tc>
          <w:tcPr>
            <w:tcW w:type="dxa" w:w="3360"/>
            <w:vAlign w:val="center"/>
          </w:tcPr>
          <w:p>
            <w:pPr>
              <w:spacing w:after="40"/>
            </w:pPr>
            <w:r>
              <w:rPr>
                <w:rFonts w:ascii="Arial" w:hAnsi="Arial"/>
                <w:sz w:val="17"/>
              </w:rPr>
            </w:r>
            <w:r>
              <w:rPr>
                <w:rFonts w:ascii="Arial" w:hAnsi="Arial"/>
                <w:b w:val="0"/>
                <w:sz w:val="17"/>
              </w:rPr>
              <w:t>Weekly operations meeting</w:t>
            </w:r>
          </w:p>
        </w:tc>
        <w:tc>
          <w:tcPr>
            <w:tcW w:type="dxa" w:w="3360"/>
            <w:vAlign w:val="center"/>
          </w:tcPr>
          <w:p>
            <w:pPr>
              <w:spacing w:after="40"/>
            </w:pPr>
            <w:r>
              <w:rPr>
                <w:rFonts w:ascii="Arial" w:hAnsi="Arial"/>
                <w:sz w:val="17"/>
              </w:rPr>
            </w:r>
            <w:r>
              <w:rPr>
                <w:rFonts w:ascii="Arial" w:hAnsi="Arial"/>
                <w:b w:val="0"/>
                <w:sz w:val="17"/>
              </w:rPr>
              <w:t>Review facility, events, staffing, incidents, maintenance, vendor issues.</w:t>
            </w:r>
          </w:p>
        </w:tc>
        <w:tc>
          <w:tcPr>
            <w:tcW w:type="dxa" w:w="3360"/>
            <w:vAlign w:val="center"/>
          </w:tcPr>
          <w:p>
            <w:pPr>
              <w:spacing w:after="40"/>
            </w:pPr>
            <w:r>
              <w:rPr>
                <w:rFonts w:ascii="Arial" w:hAnsi="Arial"/>
                <w:sz w:val="17"/>
              </w:rPr>
            </w:r>
            <w:r>
              <w:rPr>
                <w:rFonts w:ascii="Arial" w:hAnsi="Arial"/>
                <w:b w:val="0"/>
                <w:sz w:val="17"/>
              </w:rPr>
              <w:t>Operations Manager weekly.</w:t>
            </w:r>
          </w:p>
        </w:tc>
      </w:tr>
      <w:tr>
        <w:tc>
          <w:tcPr>
            <w:tcW w:type="dxa" w:w="3360"/>
            <w:vAlign w:val="center"/>
          </w:tcPr>
          <w:p>
            <w:pPr>
              <w:spacing w:after="40"/>
            </w:pPr>
            <w:r>
              <w:rPr>
                <w:rFonts w:ascii="Arial" w:hAnsi="Arial"/>
                <w:sz w:val="17"/>
              </w:rPr>
            </w:r>
            <w:r>
              <w:rPr>
                <w:rFonts w:ascii="Arial" w:hAnsi="Arial"/>
                <w:b w:val="0"/>
                <w:sz w:val="17"/>
              </w:rPr>
              <w:t>Monthly vendor review</w:t>
            </w:r>
          </w:p>
        </w:tc>
        <w:tc>
          <w:tcPr>
            <w:tcW w:type="dxa" w:w="3360"/>
            <w:vAlign w:val="center"/>
          </w:tcPr>
          <w:p>
            <w:pPr>
              <w:spacing w:after="40"/>
            </w:pPr>
            <w:r>
              <w:rPr>
                <w:rFonts w:ascii="Arial" w:hAnsi="Arial"/>
                <w:sz w:val="17"/>
              </w:rPr>
            </w:r>
            <w:r>
              <w:rPr>
                <w:rFonts w:ascii="Arial" w:hAnsi="Arial"/>
                <w:b w:val="0"/>
                <w:sz w:val="17"/>
              </w:rPr>
              <w:t>Evaluate sales, margin, cleanliness, compliance, guest feedback, goals.</w:t>
            </w:r>
          </w:p>
        </w:tc>
        <w:tc>
          <w:tcPr>
            <w:tcW w:type="dxa" w:w="3360"/>
            <w:vAlign w:val="center"/>
          </w:tcPr>
          <w:p>
            <w:pPr>
              <w:spacing w:after="40"/>
            </w:pPr>
            <w:r>
              <w:rPr>
                <w:rFonts w:ascii="Arial" w:hAnsi="Arial"/>
                <w:sz w:val="17"/>
              </w:rPr>
            </w:r>
            <w:r>
              <w:rPr>
                <w:rFonts w:ascii="Arial" w:hAnsi="Arial"/>
                <w:b w:val="0"/>
                <w:sz w:val="17"/>
              </w:rPr>
              <w:t>Incubator Director monthly.</w:t>
            </w:r>
          </w:p>
        </w:tc>
      </w:tr>
      <w:tr>
        <w:tc>
          <w:tcPr>
            <w:tcW w:type="dxa" w:w="3360"/>
            <w:vAlign w:val="center"/>
          </w:tcPr>
          <w:p>
            <w:pPr>
              <w:spacing w:after="40"/>
            </w:pPr>
            <w:r>
              <w:rPr>
                <w:rFonts w:ascii="Arial" w:hAnsi="Arial"/>
                <w:sz w:val="17"/>
              </w:rPr>
            </w:r>
            <w:r>
              <w:rPr>
                <w:rFonts w:ascii="Arial" w:hAnsi="Arial"/>
                <w:b w:val="0"/>
                <w:sz w:val="17"/>
              </w:rPr>
              <w:t>Quarterly program review</w:t>
            </w:r>
          </w:p>
        </w:tc>
        <w:tc>
          <w:tcPr>
            <w:tcW w:type="dxa" w:w="3360"/>
            <w:vAlign w:val="center"/>
          </w:tcPr>
          <w:p>
            <w:pPr>
              <w:spacing w:after="40"/>
            </w:pPr>
            <w:r>
              <w:rPr>
                <w:rFonts w:ascii="Arial" w:hAnsi="Arial"/>
                <w:sz w:val="17"/>
              </w:rPr>
            </w:r>
            <w:r>
              <w:rPr>
                <w:rFonts w:ascii="Arial" w:hAnsi="Arial"/>
                <w:b w:val="0"/>
                <w:sz w:val="17"/>
              </w:rPr>
              <w:t>Review outcomes, pipeline, graduation, finances, sponsor/grant reporting.</w:t>
            </w:r>
          </w:p>
        </w:tc>
        <w:tc>
          <w:tcPr>
            <w:tcW w:type="dxa" w:w="3360"/>
            <w:vAlign w:val="center"/>
          </w:tcPr>
          <w:p>
            <w:pPr>
              <w:spacing w:after="40"/>
            </w:pPr>
            <w:r>
              <w:rPr>
                <w:rFonts w:ascii="Arial" w:hAnsi="Arial"/>
                <w:sz w:val="17"/>
              </w:rPr>
            </w:r>
            <w:r>
              <w:rPr>
                <w:rFonts w:ascii="Arial" w:hAnsi="Arial"/>
                <w:b w:val="0"/>
                <w:sz w:val="17"/>
              </w:rPr>
              <w:t>Founder/Director quarterly.</w:t>
            </w:r>
          </w:p>
        </w:tc>
      </w:tr>
      <w:tr>
        <w:tc>
          <w:tcPr>
            <w:tcW w:type="dxa" w:w="3360"/>
            <w:vAlign w:val="center"/>
          </w:tcPr>
          <w:p>
            <w:pPr>
              <w:spacing w:after="40"/>
            </w:pPr>
            <w:r>
              <w:rPr>
                <w:rFonts w:ascii="Arial" w:hAnsi="Arial"/>
                <w:sz w:val="17"/>
              </w:rPr>
            </w:r>
            <w:r>
              <w:rPr>
                <w:rFonts w:ascii="Arial" w:hAnsi="Arial"/>
                <w:b w:val="0"/>
                <w:sz w:val="17"/>
              </w:rPr>
              <w:t>Vendor file audit</w:t>
            </w:r>
          </w:p>
        </w:tc>
        <w:tc>
          <w:tcPr>
            <w:tcW w:type="dxa" w:w="3360"/>
            <w:vAlign w:val="center"/>
          </w:tcPr>
          <w:p>
            <w:pPr>
              <w:spacing w:after="40"/>
            </w:pPr>
            <w:r>
              <w:rPr>
                <w:rFonts w:ascii="Arial" w:hAnsi="Arial"/>
                <w:sz w:val="17"/>
              </w:rPr>
            </w:r>
            <w:r>
              <w:rPr>
                <w:rFonts w:ascii="Arial" w:hAnsi="Arial"/>
                <w:b w:val="0"/>
                <w:sz w:val="17"/>
              </w:rPr>
              <w:t>Confirm permits, insurance, training, license, POS, retail addendum.</w:t>
            </w:r>
          </w:p>
        </w:tc>
        <w:tc>
          <w:tcPr>
            <w:tcW w:type="dxa" w:w="3360"/>
            <w:vAlign w:val="center"/>
          </w:tcPr>
          <w:p>
            <w:pPr>
              <w:spacing w:after="40"/>
            </w:pPr>
            <w:r>
              <w:rPr>
                <w:rFonts w:ascii="Arial" w:hAnsi="Arial"/>
                <w:sz w:val="17"/>
              </w:rPr>
            </w:r>
            <w:r>
              <w:rPr>
                <w:rFonts w:ascii="Arial" w:hAnsi="Arial"/>
                <w:b w:val="0"/>
                <w:sz w:val="17"/>
              </w:rPr>
              <w:t>Program Coordinator monthly.</w:t>
            </w:r>
          </w:p>
        </w:tc>
      </w:tr>
      <w:tr>
        <w:tc>
          <w:tcPr>
            <w:tcW w:type="dxa" w:w="3360"/>
            <w:vAlign w:val="center"/>
          </w:tcPr>
          <w:p>
            <w:pPr>
              <w:spacing w:after="40"/>
            </w:pPr>
            <w:r>
              <w:rPr>
                <w:rFonts w:ascii="Arial" w:hAnsi="Arial"/>
                <w:sz w:val="17"/>
              </w:rPr>
            </w:r>
            <w:r>
              <w:rPr>
                <w:rFonts w:ascii="Arial" w:hAnsi="Arial"/>
                <w:b w:val="0"/>
                <w:sz w:val="17"/>
              </w:rPr>
              <w:t>Compliance responsibility matrix</w:t>
            </w:r>
          </w:p>
        </w:tc>
        <w:tc>
          <w:tcPr>
            <w:tcW w:type="dxa" w:w="3360"/>
            <w:vAlign w:val="center"/>
          </w:tcPr>
          <w:p>
            <w:pPr>
              <w:spacing w:after="40"/>
            </w:pPr>
            <w:r>
              <w:rPr>
                <w:rFonts w:ascii="Arial" w:hAnsi="Arial"/>
                <w:sz w:val="17"/>
              </w:rPr>
            </w:r>
            <w:r>
              <w:rPr>
                <w:rFonts w:ascii="Arial" w:hAnsi="Arial"/>
                <w:b w:val="0"/>
                <w:sz w:val="17"/>
              </w:rPr>
              <w:t>Separate hall obligations from vendor obligations.</w:t>
            </w:r>
          </w:p>
        </w:tc>
        <w:tc>
          <w:tcPr>
            <w:tcW w:type="dxa" w:w="3360"/>
            <w:vAlign w:val="center"/>
          </w:tcPr>
          <w:p>
            <w:pPr>
              <w:spacing w:after="40"/>
            </w:pPr>
            <w:r>
              <w:rPr>
                <w:rFonts w:ascii="Arial" w:hAnsi="Arial"/>
                <w:sz w:val="17"/>
              </w:rPr>
            </w:r>
            <w:r>
              <w:rPr>
                <w:rFonts w:ascii="Arial" w:hAnsi="Arial"/>
                <w:b w:val="0"/>
                <w:sz w:val="17"/>
              </w:rPr>
              <w:t>Operations Director; update as rules change.</w:t>
            </w:r>
          </w:p>
        </w:tc>
      </w:tr>
      <w:tr>
        <w:tc>
          <w:tcPr>
            <w:tcW w:type="dxa" w:w="3360"/>
            <w:vAlign w:val="center"/>
          </w:tcPr>
          <w:p>
            <w:pPr>
              <w:spacing w:after="40"/>
            </w:pPr>
            <w:r>
              <w:rPr>
                <w:rFonts w:ascii="Arial" w:hAnsi="Arial"/>
                <w:sz w:val="17"/>
              </w:rPr>
            </w:r>
            <w:r>
              <w:rPr>
                <w:rFonts w:ascii="Arial" w:hAnsi="Arial"/>
                <w:b w:val="0"/>
                <w:sz w:val="17"/>
              </w:rPr>
              <w:t>Conflict resolution process</w:t>
            </w:r>
          </w:p>
        </w:tc>
        <w:tc>
          <w:tcPr>
            <w:tcW w:type="dxa" w:w="3360"/>
            <w:vAlign w:val="center"/>
          </w:tcPr>
          <w:p>
            <w:pPr>
              <w:spacing w:after="40"/>
            </w:pPr>
            <w:r>
              <w:rPr>
                <w:rFonts w:ascii="Arial" w:hAnsi="Arial"/>
                <w:sz w:val="17"/>
              </w:rPr>
            </w:r>
            <w:r>
              <w:rPr>
                <w:rFonts w:ascii="Arial" w:hAnsi="Arial"/>
                <w:b w:val="0"/>
                <w:sz w:val="17"/>
              </w:rPr>
              <w:t>Document complaint, mediate, corrective plan, escalation, termination if needed.</w:t>
            </w:r>
          </w:p>
        </w:tc>
        <w:tc>
          <w:tcPr>
            <w:tcW w:type="dxa" w:w="3360"/>
            <w:vAlign w:val="center"/>
          </w:tcPr>
          <w:p>
            <w:pPr>
              <w:spacing w:after="40"/>
            </w:pPr>
            <w:r>
              <w:rPr>
                <w:rFonts w:ascii="Arial" w:hAnsi="Arial"/>
                <w:sz w:val="17"/>
              </w:rPr>
            </w:r>
            <w:r>
              <w:rPr>
                <w:rFonts w:ascii="Arial" w:hAnsi="Arial"/>
                <w:b w:val="0"/>
                <w:sz w:val="17"/>
              </w:rPr>
              <w:t>Incubator Director.</w:t>
            </w:r>
          </w:p>
        </w:tc>
      </w:tr>
    </w:tbl>
    <w:p/>
    <w:p>
      <w:pPr>
        <w:pStyle w:val="Heading2"/>
      </w:pPr>
      <w:r>
        <w:t>5.1 Compliance Responsibility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Compliance Item</w:t>
            </w:r>
          </w:p>
        </w:tc>
        <w:tc>
          <w:tcPr>
            <w:tcW w:type="dxa" w:w="3360"/>
            <w:vAlign w:val="center"/>
            <w:shd w:fill="1F4E5F"/>
          </w:tcPr>
          <w:p>
            <w:pPr>
              <w:spacing w:after="40"/>
            </w:pPr>
            <w:r>
              <w:rPr>
                <w:rFonts w:ascii="Arial" w:hAnsi="Arial"/>
                <w:sz w:val="17"/>
              </w:rPr>
            </w:r>
            <w:r>
              <w:rPr>
                <w:rFonts w:ascii="Arial" w:hAnsi="Arial"/>
                <w:b/>
                <w:color w:val="FFFFFF"/>
                <w:sz w:val="17"/>
              </w:rPr>
              <w:t>Hall Responsibility</w:t>
            </w:r>
          </w:p>
        </w:tc>
        <w:tc>
          <w:tcPr>
            <w:tcW w:type="dxa" w:w="3360"/>
            <w:vAlign w:val="center"/>
            <w:shd w:fill="1F4E5F"/>
          </w:tcPr>
          <w:p>
            <w:pPr>
              <w:spacing w:after="40"/>
            </w:pPr>
            <w:r>
              <w:rPr>
                <w:rFonts w:ascii="Arial" w:hAnsi="Arial"/>
                <w:sz w:val="17"/>
              </w:rPr>
            </w:r>
            <w:r>
              <w:rPr>
                <w:rFonts w:ascii="Arial" w:hAnsi="Arial"/>
                <w:b/>
                <w:color w:val="FFFFFF"/>
                <w:sz w:val="17"/>
              </w:rPr>
              <w:t>Vendor Responsibility</w:t>
            </w:r>
          </w:p>
        </w:tc>
      </w:tr>
      <w:tr>
        <w:tc>
          <w:tcPr>
            <w:tcW w:type="dxa" w:w="3360"/>
            <w:vAlign w:val="center"/>
          </w:tcPr>
          <w:p>
            <w:pPr>
              <w:spacing w:after="40"/>
            </w:pPr>
            <w:r>
              <w:rPr>
                <w:rFonts w:ascii="Arial" w:hAnsi="Arial"/>
                <w:sz w:val="17"/>
              </w:rPr>
            </w:r>
            <w:r>
              <w:rPr>
                <w:rFonts w:ascii="Arial" w:hAnsi="Arial"/>
                <w:b w:val="0"/>
                <w:sz w:val="17"/>
              </w:rPr>
              <w:t>Facility permit / plan review</w:t>
            </w:r>
          </w:p>
        </w:tc>
        <w:tc>
          <w:tcPr>
            <w:tcW w:type="dxa" w:w="3360"/>
            <w:vAlign w:val="center"/>
          </w:tcPr>
          <w:p>
            <w:pPr>
              <w:spacing w:after="40"/>
            </w:pPr>
            <w:r>
              <w:rPr>
                <w:rFonts w:ascii="Arial" w:hAnsi="Arial"/>
                <w:sz w:val="17"/>
              </w:rPr>
            </w:r>
            <w:r>
              <w:rPr>
                <w:rFonts w:ascii="Arial" w:hAnsi="Arial"/>
                <w:b w:val="0"/>
                <w:sz w:val="17"/>
              </w:rPr>
              <w:t>Coordinate hall-level permit/design/inspection path.</w:t>
            </w:r>
          </w:p>
        </w:tc>
        <w:tc>
          <w:tcPr>
            <w:tcW w:type="dxa" w:w="3360"/>
            <w:vAlign w:val="center"/>
          </w:tcPr>
          <w:p>
            <w:pPr>
              <w:spacing w:after="40"/>
            </w:pPr>
            <w:r>
              <w:rPr>
                <w:rFonts w:ascii="Arial" w:hAnsi="Arial"/>
                <w:sz w:val="17"/>
              </w:rPr>
            </w:r>
            <w:r>
              <w:rPr>
                <w:rFonts w:ascii="Arial" w:hAnsi="Arial"/>
                <w:b w:val="0"/>
                <w:sz w:val="17"/>
              </w:rPr>
              <w:t>Provide menu/process information and stall-specific needs.</w:t>
            </w:r>
          </w:p>
        </w:tc>
      </w:tr>
      <w:tr>
        <w:tc>
          <w:tcPr>
            <w:tcW w:type="dxa" w:w="3360"/>
            <w:vAlign w:val="center"/>
          </w:tcPr>
          <w:p>
            <w:pPr>
              <w:spacing w:after="40"/>
            </w:pPr>
            <w:r>
              <w:rPr>
                <w:rFonts w:ascii="Arial" w:hAnsi="Arial"/>
                <w:sz w:val="17"/>
              </w:rPr>
            </w:r>
            <w:r>
              <w:rPr>
                <w:rFonts w:ascii="Arial" w:hAnsi="Arial"/>
                <w:b w:val="0"/>
                <w:sz w:val="17"/>
              </w:rPr>
              <w:t>Food handler / CFPM records</w:t>
            </w:r>
          </w:p>
        </w:tc>
        <w:tc>
          <w:tcPr>
            <w:tcW w:type="dxa" w:w="3360"/>
            <w:vAlign w:val="center"/>
          </w:tcPr>
          <w:p>
            <w:pPr>
              <w:spacing w:after="40"/>
            </w:pPr>
            <w:r>
              <w:rPr>
                <w:rFonts w:ascii="Arial" w:hAnsi="Arial"/>
                <w:sz w:val="17"/>
              </w:rPr>
            </w:r>
            <w:r>
              <w:rPr>
                <w:rFonts w:ascii="Arial" w:hAnsi="Arial"/>
                <w:b w:val="0"/>
                <w:sz w:val="17"/>
              </w:rPr>
              <w:t>Set policy and maintain files if centralized.</w:t>
            </w:r>
          </w:p>
        </w:tc>
        <w:tc>
          <w:tcPr>
            <w:tcW w:type="dxa" w:w="3360"/>
            <w:vAlign w:val="center"/>
          </w:tcPr>
          <w:p>
            <w:pPr>
              <w:spacing w:after="40"/>
            </w:pPr>
            <w:r>
              <w:rPr>
                <w:rFonts w:ascii="Arial" w:hAnsi="Arial"/>
                <w:sz w:val="17"/>
              </w:rPr>
            </w:r>
            <w:r>
              <w:rPr>
                <w:rFonts w:ascii="Arial" w:hAnsi="Arial"/>
                <w:b w:val="0"/>
                <w:sz w:val="17"/>
              </w:rPr>
              <w:t>Maintain required personal/team training records.</w:t>
            </w:r>
          </w:p>
        </w:tc>
      </w:tr>
      <w:tr>
        <w:tc>
          <w:tcPr>
            <w:tcW w:type="dxa" w:w="3360"/>
            <w:vAlign w:val="center"/>
          </w:tcPr>
          <w:p>
            <w:pPr>
              <w:spacing w:after="40"/>
            </w:pPr>
            <w:r>
              <w:rPr>
                <w:rFonts w:ascii="Arial" w:hAnsi="Arial"/>
                <w:sz w:val="17"/>
              </w:rPr>
            </w:r>
            <w:r>
              <w:rPr>
                <w:rFonts w:ascii="Arial" w:hAnsi="Arial"/>
                <w:b w:val="0"/>
                <w:sz w:val="17"/>
              </w:rPr>
              <w:t>Stall sanitation</w:t>
            </w:r>
          </w:p>
        </w:tc>
        <w:tc>
          <w:tcPr>
            <w:tcW w:type="dxa" w:w="3360"/>
            <w:vAlign w:val="center"/>
          </w:tcPr>
          <w:p>
            <w:pPr>
              <w:spacing w:after="40"/>
            </w:pPr>
            <w:r>
              <w:rPr>
                <w:rFonts w:ascii="Arial" w:hAnsi="Arial"/>
                <w:sz w:val="17"/>
              </w:rPr>
            </w:r>
            <w:r>
              <w:rPr>
                <w:rFonts w:ascii="Arial" w:hAnsi="Arial"/>
                <w:b w:val="0"/>
                <w:sz w:val="17"/>
              </w:rPr>
              <w:t>Audit and enforce standards.</w:t>
            </w:r>
          </w:p>
        </w:tc>
        <w:tc>
          <w:tcPr>
            <w:tcW w:type="dxa" w:w="3360"/>
            <w:vAlign w:val="center"/>
          </w:tcPr>
          <w:p>
            <w:pPr>
              <w:spacing w:after="40"/>
            </w:pPr>
            <w:r>
              <w:rPr>
                <w:rFonts w:ascii="Arial" w:hAnsi="Arial"/>
                <w:sz w:val="17"/>
              </w:rPr>
            </w:r>
            <w:r>
              <w:rPr>
                <w:rFonts w:ascii="Arial" w:hAnsi="Arial"/>
                <w:b w:val="0"/>
                <w:sz w:val="17"/>
              </w:rPr>
              <w:t>Clean and sanitize assigned space and tools.</w:t>
            </w:r>
          </w:p>
        </w:tc>
      </w:tr>
      <w:tr>
        <w:tc>
          <w:tcPr>
            <w:tcW w:type="dxa" w:w="3360"/>
            <w:vAlign w:val="center"/>
          </w:tcPr>
          <w:p>
            <w:pPr>
              <w:spacing w:after="40"/>
            </w:pPr>
            <w:r>
              <w:rPr>
                <w:rFonts w:ascii="Arial" w:hAnsi="Arial"/>
                <w:sz w:val="17"/>
              </w:rPr>
            </w:r>
            <w:r>
              <w:rPr>
                <w:rFonts w:ascii="Arial" w:hAnsi="Arial"/>
                <w:b w:val="0"/>
                <w:sz w:val="17"/>
              </w:rPr>
              <w:t>Product labels / allergens</w:t>
            </w:r>
          </w:p>
        </w:tc>
        <w:tc>
          <w:tcPr>
            <w:tcW w:type="dxa" w:w="3360"/>
            <w:vAlign w:val="center"/>
          </w:tcPr>
          <w:p>
            <w:pPr>
              <w:spacing w:after="40"/>
            </w:pPr>
            <w:r>
              <w:rPr>
                <w:rFonts w:ascii="Arial" w:hAnsi="Arial"/>
                <w:sz w:val="17"/>
              </w:rPr>
            </w:r>
            <w:r>
              <w:rPr>
                <w:rFonts w:ascii="Arial" w:hAnsi="Arial"/>
                <w:b w:val="0"/>
                <w:sz w:val="17"/>
              </w:rPr>
              <w:t>Set format, verify submission, keep records.</w:t>
            </w:r>
          </w:p>
        </w:tc>
        <w:tc>
          <w:tcPr>
            <w:tcW w:type="dxa" w:w="3360"/>
            <w:vAlign w:val="center"/>
          </w:tcPr>
          <w:p>
            <w:pPr>
              <w:spacing w:after="40"/>
            </w:pPr>
            <w:r>
              <w:rPr>
                <w:rFonts w:ascii="Arial" w:hAnsi="Arial"/>
                <w:sz w:val="17"/>
              </w:rPr>
            </w:r>
            <w:r>
              <w:rPr>
                <w:rFonts w:ascii="Arial" w:hAnsi="Arial"/>
                <w:b w:val="0"/>
                <w:sz w:val="17"/>
              </w:rPr>
              <w:t>Provide accurate ingredients, allergens, dates, and product identity.</w:t>
            </w:r>
          </w:p>
        </w:tc>
      </w:tr>
      <w:tr>
        <w:tc>
          <w:tcPr>
            <w:tcW w:type="dxa" w:w="3360"/>
            <w:vAlign w:val="center"/>
          </w:tcPr>
          <w:p>
            <w:pPr>
              <w:spacing w:after="40"/>
            </w:pPr>
            <w:r>
              <w:rPr>
                <w:rFonts w:ascii="Arial" w:hAnsi="Arial"/>
                <w:sz w:val="17"/>
              </w:rPr>
            </w:r>
            <w:r>
              <w:rPr>
                <w:rFonts w:ascii="Arial" w:hAnsi="Arial"/>
                <w:b w:val="0"/>
                <w:sz w:val="17"/>
              </w:rPr>
              <w:t>Insurance</w:t>
            </w:r>
          </w:p>
        </w:tc>
        <w:tc>
          <w:tcPr>
            <w:tcW w:type="dxa" w:w="3360"/>
            <w:vAlign w:val="center"/>
          </w:tcPr>
          <w:p>
            <w:pPr>
              <w:spacing w:after="40"/>
            </w:pPr>
            <w:r>
              <w:rPr>
                <w:rFonts w:ascii="Arial" w:hAnsi="Arial"/>
                <w:sz w:val="17"/>
              </w:rPr>
            </w:r>
            <w:r>
              <w:rPr>
                <w:rFonts w:ascii="Arial" w:hAnsi="Arial"/>
                <w:b w:val="0"/>
                <w:sz w:val="17"/>
              </w:rPr>
              <w:t>Define coverage requirements and collect certificates.</w:t>
            </w:r>
          </w:p>
        </w:tc>
        <w:tc>
          <w:tcPr>
            <w:tcW w:type="dxa" w:w="3360"/>
            <w:vAlign w:val="center"/>
          </w:tcPr>
          <w:p>
            <w:pPr>
              <w:spacing w:after="40"/>
            </w:pPr>
            <w:r>
              <w:rPr>
                <w:rFonts w:ascii="Arial" w:hAnsi="Arial"/>
                <w:sz w:val="17"/>
              </w:rPr>
            </w:r>
            <w:r>
              <w:rPr>
                <w:rFonts w:ascii="Arial" w:hAnsi="Arial"/>
                <w:b w:val="0"/>
                <w:sz w:val="17"/>
              </w:rPr>
              <w:t>Maintain coverage and notify hall of changes.</w:t>
            </w:r>
          </w:p>
        </w:tc>
      </w:tr>
      <w:tr>
        <w:tc>
          <w:tcPr>
            <w:tcW w:type="dxa" w:w="3360"/>
            <w:vAlign w:val="center"/>
          </w:tcPr>
          <w:p>
            <w:pPr>
              <w:spacing w:after="40"/>
            </w:pPr>
            <w:r>
              <w:rPr>
                <w:rFonts w:ascii="Arial" w:hAnsi="Arial"/>
                <w:sz w:val="17"/>
              </w:rPr>
            </w:r>
            <w:r>
              <w:rPr>
                <w:rFonts w:ascii="Arial" w:hAnsi="Arial"/>
                <w:b w:val="0"/>
                <w:sz w:val="17"/>
              </w:rPr>
              <w:t>Sales reporting</w:t>
            </w:r>
          </w:p>
        </w:tc>
        <w:tc>
          <w:tcPr>
            <w:tcW w:type="dxa" w:w="3360"/>
            <w:vAlign w:val="center"/>
          </w:tcPr>
          <w:p>
            <w:pPr>
              <w:spacing w:after="40"/>
            </w:pPr>
            <w:r>
              <w:rPr>
                <w:rFonts w:ascii="Arial" w:hAnsi="Arial"/>
                <w:sz w:val="17"/>
              </w:rPr>
            </w:r>
            <w:r>
              <w:rPr>
                <w:rFonts w:ascii="Arial" w:hAnsi="Arial"/>
                <w:b w:val="0"/>
                <w:sz w:val="17"/>
              </w:rPr>
              <w:t>Provide POS/reporting system and deadlines.</w:t>
            </w:r>
          </w:p>
        </w:tc>
        <w:tc>
          <w:tcPr>
            <w:tcW w:type="dxa" w:w="3360"/>
            <w:vAlign w:val="center"/>
          </w:tcPr>
          <w:p>
            <w:pPr>
              <w:spacing w:after="40"/>
            </w:pPr>
            <w:r>
              <w:rPr>
                <w:rFonts w:ascii="Arial" w:hAnsi="Arial"/>
                <w:sz w:val="17"/>
              </w:rPr>
            </w:r>
            <w:r>
              <w:rPr>
                <w:rFonts w:ascii="Arial" w:hAnsi="Arial"/>
                <w:b w:val="0"/>
                <w:sz w:val="17"/>
              </w:rPr>
              <w:t>Report all gross sales accurately and on time.</w:t>
            </w:r>
          </w:p>
        </w:tc>
      </w:tr>
      <w:tr>
        <w:tc>
          <w:tcPr>
            <w:tcW w:type="dxa" w:w="3360"/>
            <w:vAlign w:val="center"/>
          </w:tcPr>
          <w:p>
            <w:pPr>
              <w:spacing w:after="40"/>
            </w:pPr>
            <w:r>
              <w:rPr>
                <w:rFonts w:ascii="Arial" w:hAnsi="Arial"/>
                <w:sz w:val="17"/>
              </w:rPr>
            </w:r>
            <w:r>
              <w:rPr>
                <w:rFonts w:ascii="Arial" w:hAnsi="Arial"/>
                <w:b w:val="0"/>
                <w:sz w:val="17"/>
              </w:rPr>
              <w:t>Retail shelf products</w:t>
            </w:r>
          </w:p>
        </w:tc>
        <w:tc>
          <w:tcPr>
            <w:tcW w:type="dxa" w:w="3360"/>
            <w:vAlign w:val="center"/>
          </w:tcPr>
          <w:p>
            <w:pPr>
              <w:spacing w:after="40"/>
            </w:pPr>
            <w:r>
              <w:rPr>
                <w:rFonts w:ascii="Arial" w:hAnsi="Arial"/>
                <w:sz w:val="17"/>
              </w:rPr>
            </w:r>
            <w:r>
              <w:rPr>
                <w:rFonts w:ascii="Arial" w:hAnsi="Arial"/>
                <w:b w:val="0"/>
                <w:sz w:val="17"/>
              </w:rPr>
              <w:t>Approve display, terms, POS, inventory process.</w:t>
            </w:r>
          </w:p>
        </w:tc>
        <w:tc>
          <w:tcPr>
            <w:tcW w:type="dxa" w:w="3360"/>
            <w:vAlign w:val="center"/>
          </w:tcPr>
          <w:p>
            <w:pPr>
              <w:spacing w:after="40"/>
            </w:pPr>
            <w:r>
              <w:rPr>
                <w:rFonts w:ascii="Arial" w:hAnsi="Arial"/>
                <w:sz w:val="17"/>
              </w:rPr>
            </w:r>
            <w:r>
              <w:rPr>
                <w:rFonts w:ascii="Arial" w:hAnsi="Arial"/>
                <w:b w:val="0"/>
                <w:sz w:val="17"/>
              </w:rPr>
              <w:t>Comply with labeling, safety, recall, and product liability requirements.</w:t>
            </w:r>
          </w:p>
        </w:tc>
      </w:tr>
    </w:tbl>
    <w:p/>
    <w:p>
      <w:pPr>
        <w:pStyle w:val="Heading1"/>
      </w:pPr>
      <w:r>
        <w:t>6. Financial Framework</w:t>
      </w:r>
    </w:p>
    <w:p>
      <w:r>
        <w:t>The incubator must be financially disciplined enough to survive while serving vendors who are still developing. Management should separate mission subsidy from operating performance so the hall understands what is earned, what is sponsored, and what is grant-supported.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Financial Area</w:t>
            </w:r>
          </w:p>
        </w:tc>
        <w:tc>
          <w:tcPr>
            <w:tcW w:type="dxa" w:w="3360"/>
            <w:vAlign w:val="center"/>
            <w:shd w:fill="1F4E5F"/>
          </w:tcPr>
          <w:p>
            <w:pPr>
              <w:spacing w:after="40"/>
            </w:pPr>
            <w:r>
              <w:rPr>
                <w:rFonts w:ascii="Arial" w:hAnsi="Arial"/>
                <w:sz w:val="17"/>
              </w:rPr>
            </w:r>
            <w:r>
              <w:rPr>
                <w:rFonts w:ascii="Arial" w:hAnsi="Arial"/>
                <w:b/>
                <w:color w:val="FFFFFF"/>
                <w:sz w:val="17"/>
              </w:rPr>
              <w:t>Operating Practice</w:t>
            </w:r>
          </w:p>
        </w:tc>
        <w:tc>
          <w:tcPr>
            <w:tcW w:type="dxa" w:w="3360"/>
            <w:vAlign w:val="center"/>
            <w:shd w:fill="1F4E5F"/>
          </w:tcPr>
          <w:p>
            <w:pPr>
              <w:spacing w:after="40"/>
            </w:pPr>
            <w:r>
              <w:rPr>
                <w:rFonts w:ascii="Arial" w:hAnsi="Arial"/>
                <w:sz w:val="17"/>
              </w:rPr>
            </w:r>
            <w:r>
              <w:rPr>
                <w:rFonts w:ascii="Arial" w:hAnsi="Arial"/>
                <w:b/>
                <w:color w:val="FFFFFF"/>
                <w:sz w:val="17"/>
              </w:rPr>
              <w:t>Risk Control</w:t>
            </w:r>
          </w:p>
        </w:tc>
      </w:tr>
      <w:tr>
        <w:tc>
          <w:tcPr>
            <w:tcW w:type="dxa" w:w="3360"/>
            <w:vAlign w:val="center"/>
          </w:tcPr>
          <w:p>
            <w:pPr>
              <w:spacing w:after="40"/>
            </w:pPr>
            <w:r>
              <w:rPr>
                <w:rFonts w:ascii="Arial" w:hAnsi="Arial"/>
                <w:sz w:val="17"/>
              </w:rPr>
            </w:r>
            <w:r>
              <w:rPr>
                <w:rFonts w:ascii="Arial" w:hAnsi="Arial"/>
                <w:b w:val="0"/>
                <w:sz w:val="17"/>
              </w:rPr>
              <w:t>Base license fee</w:t>
            </w:r>
          </w:p>
        </w:tc>
        <w:tc>
          <w:tcPr>
            <w:tcW w:type="dxa" w:w="3360"/>
            <w:vAlign w:val="center"/>
          </w:tcPr>
          <w:p>
            <w:pPr>
              <w:spacing w:after="40"/>
            </w:pPr>
            <w:r>
              <w:rPr>
                <w:rFonts w:ascii="Arial" w:hAnsi="Arial"/>
                <w:sz w:val="17"/>
              </w:rPr>
            </w:r>
            <w:r>
              <w:rPr>
                <w:rFonts w:ascii="Arial" w:hAnsi="Arial"/>
                <w:b w:val="0"/>
                <w:sz w:val="17"/>
              </w:rPr>
              <w:t>Set by stall size, stage, location, equipment, and subsidy policy.</w:t>
            </w:r>
          </w:p>
        </w:tc>
        <w:tc>
          <w:tcPr>
            <w:tcW w:type="dxa" w:w="3360"/>
            <w:vAlign w:val="center"/>
          </w:tcPr>
          <w:p>
            <w:pPr>
              <w:spacing w:after="40"/>
            </w:pPr>
            <w:r>
              <w:rPr>
                <w:rFonts w:ascii="Arial" w:hAnsi="Arial"/>
                <w:sz w:val="17"/>
              </w:rPr>
            </w:r>
            <w:r>
              <w:rPr>
                <w:rFonts w:ascii="Arial" w:hAnsi="Arial"/>
                <w:b w:val="0"/>
                <w:sz w:val="17"/>
              </w:rPr>
              <w:t>Review rent-to-sales ratio monthly.</w:t>
            </w:r>
          </w:p>
        </w:tc>
      </w:tr>
      <w:tr>
        <w:tc>
          <w:tcPr>
            <w:tcW w:type="dxa" w:w="3360"/>
            <w:vAlign w:val="center"/>
          </w:tcPr>
          <w:p>
            <w:pPr>
              <w:spacing w:after="40"/>
            </w:pPr>
            <w:r>
              <w:rPr>
                <w:rFonts w:ascii="Arial" w:hAnsi="Arial"/>
                <w:sz w:val="17"/>
              </w:rPr>
            </w:r>
            <w:r>
              <w:rPr>
                <w:rFonts w:ascii="Arial" w:hAnsi="Arial"/>
                <w:b w:val="0"/>
                <w:sz w:val="17"/>
              </w:rPr>
              <w:t>Percentage rent</w:t>
            </w:r>
          </w:p>
        </w:tc>
        <w:tc>
          <w:tcPr>
            <w:tcW w:type="dxa" w:w="3360"/>
            <w:vAlign w:val="center"/>
          </w:tcPr>
          <w:p>
            <w:pPr>
              <w:spacing w:after="40"/>
            </w:pPr>
            <w:r>
              <w:rPr>
                <w:rFonts w:ascii="Arial" w:hAnsi="Arial"/>
                <w:sz w:val="17"/>
              </w:rPr>
            </w:r>
            <w:r>
              <w:rPr>
                <w:rFonts w:ascii="Arial" w:hAnsi="Arial"/>
                <w:b w:val="0"/>
                <w:sz w:val="17"/>
              </w:rPr>
              <w:t>Define gross sales, exclusions if any, reporting deadline, audit rights.</w:t>
            </w:r>
          </w:p>
        </w:tc>
        <w:tc>
          <w:tcPr>
            <w:tcW w:type="dxa" w:w="3360"/>
            <w:vAlign w:val="center"/>
          </w:tcPr>
          <w:p>
            <w:pPr>
              <w:spacing w:after="40"/>
            </w:pPr>
            <w:r>
              <w:rPr>
                <w:rFonts w:ascii="Arial" w:hAnsi="Arial"/>
                <w:sz w:val="17"/>
              </w:rPr>
            </w:r>
            <w:r>
              <w:rPr>
                <w:rFonts w:ascii="Arial" w:hAnsi="Arial"/>
                <w:b w:val="0"/>
                <w:sz w:val="17"/>
              </w:rPr>
              <w:t>Use POS integration and late-report escalation.</w:t>
            </w:r>
          </w:p>
        </w:tc>
      </w:tr>
      <w:tr>
        <w:tc>
          <w:tcPr>
            <w:tcW w:type="dxa" w:w="3360"/>
            <w:vAlign w:val="center"/>
          </w:tcPr>
          <w:p>
            <w:pPr>
              <w:spacing w:after="40"/>
            </w:pPr>
            <w:r>
              <w:rPr>
                <w:rFonts w:ascii="Arial" w:hAnsi="Arial"/>
                <w:sz w:val="17"/>
              </w:rPr>
            </w:r>
            <w:r>
              <w:rPr>
                <w:rFonts w:ascii="Arial" w:hAnsi="Arial"/>
                <w:b w:val="0"/>
                <w:sz w:val="17"/>
              </w:rPr>
              <w:t>Bar/cider revenue</w:t>
            </w:r>
          </w:p>
        </w:tc>
        <w:tc>
          <w:tcPr>
            <w:tcW w:type="dxa" w:w="3360"/>
            <w:vAlign w:val="center"/>
          </w:tcPr>
          <w:p>
            <w:pPr>
              <w:spacing w:after="40"/>
            </w:pPr>
            <w:r>
              <w:rPr>
                <w:rFonts w:ascii="Arial" w:hAnsi="Arial"/>
                <w:sz w:val="17"/>
              </w:rPr>
            </w:r>
            <w:r>
              <w:rPr>
                <w:rFonts w:ascii="Arial" w:hAnsi="Arial"/>
                <w:b w:val="0"/>
                <w:sz w:val="17"/>
              </w:rPr>
              <w:t>Track separately from vendor revenue with alcohol compliance records.</w:t>
            </w:r>
          </w:p>
        </w:tc>
        <w:tc>
          <w:tcPr>
            <w:tcW w:type="dxa" w:w="3360"/>
            <w:vAlign w:val="center"/>
          </w:tcPr>
          <w:p>
            <w:pPr>
              <w:spacing w:after="40"/>
            </w:pPr>
            <w:r>
              <w:rPr>
                <w:rFonts w:ascii="Arial" w:hAnsi="Arial"/>
                <w:sz w:val="17"/>
              </w:rPr>
            </w:r>
            <w:r>
              <w:rPr>
                <w:rFonts w:ascii="Arial" w:hAnsi="Arial"/>
                <w:b w:val="0"/>
                <w:sz w:val="17"/>
              </w:rPr>
              <w:t>Inventory controls and age-verification policy.</w:t>
            </w:r>
          </w:p>
        </w:tc>
      </w:tr>
      <w:tr>
        <w:tc>
          <w:tcPr>
            <w:tcW w:type="dxa" w:w="3360"/>
            <w:vAlign w:val="center"/>
          </w:tcPr>
          <w:p>
            <w:pPr>
              <w:spacing w:after="40"/>
            </w:pPr>
            <w:r>
              <w:rPr>
                <w:rFonts w:ascii="Arial" w:hAnsi="Arial"/>
                <w:sz w:val="17"/>
              </w:rPr>
            </w:r>
            <w:r>
              <w:rPr>
                <w:rFonts w:ascii="Arial" w:hAnsi="Arial"/>
                <w:b w:val="0"/>
                <w:sz w:val="17"/>
              </w:rPr>
              <w:t>Events</w:t>
            </w:r>
          </w:p>
        </w:tc>
        <w:tc>
          <w:tcPr>
            <w:tcW w:type="dxa" w:w="3360"/>
            <w:vAlign w:val="center"/>
          </w:tcPr>
          <w:p>
            <w:pPr>
              <w:spacing w:after="40"/>
            </w:pPr>
            <w:r>
              <w:rPr>
                <w:rFonts w:ascii="Arial" w:hAnsi="Arial"/>
                <w:sz w:val="17"/>
              </w:rPr>
            </w:r>
            <w:r>
              <w:rPr>
                <w:rFonts w:ascii="Arial" w:hAnsi="Arial"/>
                <w:b w:val="0"/>
                <w:sz w:val="17"/>
              </w:rPr>
              <w:t>Budget event labor, security, cleaning, marketing, vendor sales, sponsor income.</w:t>
            </w:r>
          </w:p>
        </w:tc>
        <w:tc>
          <w:tcPr>
            <w:tcW w:type="dxa" w:w="3360"/>
            <w:vAlign w:val="center"/>
          </w:tcPr>
          <w:p>
            <w:pPr>
              <w:spacing w:after="40"/>
            </w:pPr>
            <w:r>
              <w:rPr>
                <w:rFonts w:ascii="Arial" w:hAnsi="Arial"/>
                <w:sz w:val="17"/>
              </w:rPr>
            </w:r>
            <w:r>
              <w:rPr>
                <w:rFonts w:ascii="Arial" w:hAnsi="Arial"/>
                <w:b w:val="0"/>
                <w:sz w:val="17"/>
              </w:rPr>
              <w:t>Post-event P&amp;L and attendance report.</w:t>
            </w:r>
          </w:p>
        </w:tc>
      </w:tr>
      <w:tr>
        <w:tc>
          <w:tcPr>
            <w:tcW w:type="dxa" w:w="3360"/>
            <w:vAlign w:val="center"/>
          </w:tcPr>
          <w:p>
            <w:pPr>
              <w:spacing w:after="40"/>
            </w:pPr>
            <w:r>
              <w:rPr>
                <w:rFonts w:ascii="Arial" w:hAnsi="Arial"/>
                <w:sz w:val="17"/>
              </w:rPr>
            </w:r>
            <w:r>
              <w:rPr>
                <w:rFonts w:ascii="Arial" w:hAnsi="Arial"/>
                <w:b w:val="0"/>
                <w:sz w:val="17"/>
              </w:rPr>
              <w:t>Gift shop / retail shelf</w:t>
            </w:r>
          </w:p>
        </w:tc>
        <w:tc>
          <w:tcPr>
            <w:tcW w:type="dxa" w:w="3360"/>
            <w:vAlign w:val="center"/>
          </w:tcPr>
          <w:p>
            <w:pPr>
              <w:spacing w:after="40"/>
            </w:pPr>
            <w:r>
              <w:rPr>
                <w:rFonts w:ascii="Arial" w:hAnsi="Arial"/>
                <w:sz w:val="17"/>
              </w:rPr>
            </w:r>
            <w:r>
              <w:rPr>
                <w:rFonts w:ascii="Arial" w:hAnsi="Arial"/>
                <w:b w:val="0"/>
                <w:sz w:val="17"/>
              </w:rPr>
              <w:t>Track wholesale/consignment/commission terms by product.</w:t>
            </w:r>
          </w:p>
        </w:tc>
        <w:tc>
          <w:tcPr>
            <w:tcW w:type="dxa" w:w="3360"/>
            <w:vAlign w:val="center"/>
          </w:tcPr>
          <w:p>
            <w:pPr>
              <w:spacing w:after="40"/>
            </w:pPr>
            <w:r>
              <w:rPr>
                <w:rFonts w:ascii="Arial" w:hAnsi="Arial"/>
                <w:sz w:val="17"/>
              </w:rPr>
            </w:r>
            <w:r>
              <w:rPr>
                <w:rFonts w:ascii="Arial" w:hAnsi="Arial"/>
                <w:b w:val="0"/>
                <w:sz w:val="17"/>
              </w:rPr>
              <w:t>Inventory and recall records.</w:t>
            </w:r>
          </w:p>
        </w:tc>
      </w:tr>
      <w:tr>
        <w:tc>
          <w:tcPr>
            <w:tcW w:type="dxa" w:w="3360"/>
            <w:vAlign w:val="center"/>
          </w:tcPr>
          <w:p>
            <w:pPr>
              <w:spacing w:after="40"/>
            </w:pPr>
            <w:r>
              <w:rPr>
                <w:rFonts w:ascii="Arial" w:hAnsi="Arial"/>
                <w:sz w:val="17"/>
              </w:rPr>
            </w:r>
            <w:r>
              <w:rPr>
                <w:rFonts w:ascii="Arial" w:hAnsi="Arial"/>
                <w:b w:val="0"/>
                <w:sz w:val="17"/>
              </w:rPr>
              <w:t>Sponsorships</w:t>
            </w:r>
          </w:p>
        </w:tc>
        <w:tc>
          <w:tcPr>
            <w:tcW w:type="dxa" w:w="3360"/>
            <w:vAlign w:val="center"/>
          </w:tcPr>
          <w:p>
            <w:pPr>
              <w:spacing w:after="40"/>
            </w:pPr>
            <w:r>
              <w:rPr>
                <w:rFonts w:ascii="Arial" w:hAnsi="Arial"/>
                <w:sz w:val="17"/>
              </w:rPr>
            </w:r>
            <w:r>
              <w:rPr>
                <w:rFonts w:ascii="Arial" w:hAnsi="Arial"/>
                <w:b w:val="0"/>
                <w:sz w:val="17"/>
              </w:rPr>
              <w:t>Tie funds to visible packages and deliverables.</w:t>
            </w:r>
          </w:p>
        </w:tc>
        <w:tc>
          <w:tcPr>
            <w:tcW w:type="dxa" w:w="3360"/>
            <w:vAlign w:val="center"/>
          </w:tcPr>
          <w:p>
            <w:pPr>
              <w:spacing w:after="40"/>
            </w:pPr>
            <w:r>
              <w:rPr>
                <w:rFonts w:ascii="Arial" w:hAnsi="Arial"/>
                <w:sz w:val="17"/>
              </w:rPr>
            </w:r>
            <w:r>
              <w:rPr>
                <w:rFonts w:ascii="Arial" w:hAnsi="Arial"/>
                <w:b w:val="0"/>
                <w:sz w:val="17"/>
              </w:rPr>
              <w:t>Sponsor agreement and fulfillment checklist.</w:t>
            </w:r>
          </w:p>
        </w:tc>
      </w:tr>
      <w:tr>
        <w:tc>
          <w:tcPr>
            <w:tcW w:type="dxa" w:w="3360"/>
            <w:vAlign w:val="center"/>
          </w:tcPr>
          <w:p>
            <w:pPr>
              <w:spacing w:after="40"/>
            </w:pPr>
            <w:r>
              <w:rPr>
                <w:rFonts w:ascii="Arial" w:hAnsi="Arial"/>
                <w:sz w:val="17"/>
              </w:rPr>
            </w:r>
            <w:r>
              <w:rPr>
                <w:rFonts w:ascii="Arial" w:hAnsi="Arial"/>
                <w:b w:val="0"/>
                <w:sz w:val="17"/>
              </w:rPr>
              <w:t>Reserves</w:t>
            </w:r>
          </w:p>
        </w:tc>
        <w:tc>
          <w:tcPr>
            <w:tcW w:type="dxa" w:w="3360"/>
            <w:vAlign w:val="center"/>
          </w:tcPr>
          <w:p>
            <w:pPr>
              <w:spacing w:after="40"/>
            </w:pPr>
            <w:r>
              <w:rPr>
                <w:rFonts w:ascii="Arial" w:hAnsi="Arial"/>
                <w:sz w:val="17"/>
              </w:rPr>
            </w:r>
            <w:r>
              <w:rPr>
                <w:rFonts w:ascii="Arial" w:hAnsi="Arial"/>
                <w:b w:val="0"/>
                <w:sz w:val="17"/>
              </w:rPr>
              <w:t>Maintain repair, vacancy, ramp-year, and emergency reserves.</w:t>
            </w:r>
          </w:p>
        </w:tc>
        <w:tc>
          <w:tcPr>
            <w:tcW w:type="dxa" w:w="3360"/>
            <w:vAlign w:val="center"/>
          </w:tcPr>
          <w:p>
            <w:pPr>
              <w:spacing w:after="40"/>
            </w:pPr>
            <w:r>
              <w:rPr>
                <w:rFonts w:ascii="Arial" w:hAnsi="Arial"/>
                <w:sz w:val="17"/>
              </w:rPr>
            </w:r>
            <w:r>
              <w:rPr>
                <w:rFonts w:ascii="Arial" w:hAnsi="Arial"/>
                <w:b w:val="0"/>
                <w:sz w:val="17"/>
              </w:rPr>
              <w:t>Monthly reserve review.</w:t>
            </w:r>
          </w:p>
        </w:tc>
      </w:tr>
      <w:tr>
        <w:tc>
          <w:tcPr>
            <w:tcW w:type="dxa" w:w="3360"/>
            <w:vAlign w:val="center"/>
          </w:tcPr>
          <w:p>
            <w:pPr>
              <w:spacing w:after="40"/>
            </w:pPr>
            <w:r>
              <w:rPr>
                <w:rFonts w:ascii="Arial" w:hAnsi="Arial"/>
                <w:sz w:val="17"/>
              </w:rPr>
            </w:r>
            <w:r>
              <w:rPr>
                <w:rFonts w:ascii="Arial" w:hAnsi="Arial"/>
                <w:b w:val="0"/>
                <w:sz w:val="17"/>
              </w:rPr>
              <w:t>Grant reporting</w:t>
            </w:r>
          </w:p>
        </w:tc>
        <w:tc>
          <w:tcPr>
            <w:tcW w:type="dxa" w:w="3360"/>
            <w:vAlign w:val="center"/>
          </w:tcPr>
          <w:p>
            <w:pPr>
              <w:spacing w:after="40"/>
            </w:pPr>
            <w:r>
              <w:rPr>
                <w:rFonts w:ascii="Arial" w:hAnsi="Arial"/>
                <w:sz w:val="17"/>
              </w:rPr>
            </w:r>
            <w:r>
              <w:rPr>
                <w:rFonts w:ascii="Arial" w:hAnsi="Arial"/>
                <w:b w:val="0"/>
                <w:sz w:val="17"/>
              </w:rPr>
              <w:t>Track allowable uses, match, outcomes, reimbursement documents.</w:t>
            </w:r>
          </w:p>
        </w:tc>
        <w:tc>
          <w:tcPr>
            <w:tcW w:type="dxa" w:w="3360"/>
            <w:vAlign w:val="center"/>
          </w:tcPr>
          <w:p>
            <w:pPr>
              <w:spacing w:after="40"/>
            </w:pPr>
            <w:r>
              <w:rPr>
                <w:rFonts w:ascii="Arial" w:hAnsi="Arial"/>
                <w:sz w:val="17"/>
              </w:rPr>
            </w:r>
            <w:r>
              <w:rPr>
                <w:rFonts w:ascii="Arial" w:hAnsi="Arial"/>
                <w:b w:val="0"/>
                <w:sz w:val="17"/>
              </w:rPr>
              <w:t>Grant file and deadline calendar.</w:t>
            </w:r>
          </w:p>
        </w:tc>
      </w:tr>
    </w:tbl>
    <w:p/>
    <w:p>
      <w:pPr>
        <w:pStyle w:val="Heading2"/>
      </w:pPr>
      <w:r>
        <w:t>6.1A SVEDC-Informed Public Outcomes Dashboard</w:t>
      </w:r>
    </w:p>
    <w:p>
      <w:r>
        <w:t>SVEDC publicly reports outcome categories that are directly useful for the Hub's grant, lender, sponsor, and investor reporting. The Hub should adapt these categories into its own monthly and quarterly dashboard, using locally verified numbers rather than borrowing SVEDC's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40"/>
            </w:pPr>
            <w:r>
              <w:rPr>
                <w:rFonts w:ascii="Arial" w:hAnsi="Arial"/>
                <w:sz w:val="17"/>
              </w:rPr>
            </w:r>
            <w:r>
              <w:rPr>
                <w:rFonts w:ascii="Arial" w:hAnsi="Arial"/>
                <w:b/>
                <w:color w:val="FFFFFF"/>
                <w:sz w:val="17"/>
              </w:rPr>
              <w:t>Outcome Category</w:t>
            </w:r>
          </w:p>
        </w:tc>
        <w:tc>
          <w:tcPr>
            <w:tcW w:type="dxa" w:w="5040"/>
            <w:vAlign w:val="center"/>
            <w:shd w:fill="1F4E5F"/>
          </w:tcPr>
          <w:p>
            <w:pPr>
              <w:spacing w:after="40"/>
            </w:pPr>
            <w:r>
              <w:rPr>
                <w:rFonts w:ascii="Arial" w:hAnsi="Arial"/>
                <w:sz w:val="17"/>
              </w:rPr>
            </w:r>
            <w:r>
              <w:rPr>
                <w:rFonts w:ascii="Arial" w:hAnsi="Arial"/>
                <w:b/>
                <w:color w:val="FFFFFF"/>
                <w:sz w:val="17"/>
              </w:rPr>
              <w:t>How the Hub Should Track It</w:t>
            </w:r>
          </w:p>
        </w:tc>
      </w:tr>
      <w:tr>
        <w:tc>
          <w:tcPr>
            <w:tcW w:type="dxa" w:w="5040"/>
            <w:vAlign w:val="center"/>
          </w:tcPr>
          <w:p>
            <w:pPr>
              <w:spacing w:after="40"/>
            </w:pPr>
            <w:r>
              <w:rPr>
                <w:rFonts w:ascii="Arial" w:hAnsi="Arial"/>
                <w:sz w:val="17"/>
              </w:rPr>
            </w:r>
            <w:r>
              <w:rPr>
                <w:rFonts w:ascii="Arial" w:hAnsi="Arial"/>
                <w:b w:val="0"/>
                <w:sz w:val="17"/>
              </w:rPr>
              <w:t>Clients / active vendors</w:t>
            </w:r>
          </w:p>
        </w:tc>
        <w:tc>
          <w:tcPr>
            <w:tcW w:type="dxa" w:w="5040"/>
            <w:vAlign w:val="center"/>
          </w:tcPr>
          <w:p>
            <w:pPr>
              <w:spacing w:after="40"/>
            </w:pPr>
            <w:r>
              <w:rPr>
                <w:rFonts w:ascii="Arial" w:hAnsi="Arial"/>
                <w:sz w:val="17"/>
              </w:rPr>
            </w:r>
            <w:r>
              <w:rPr>
                <w:rFonts w:ascii="Arial" w:hAnsi="Arial"/>
                <w:b w:val="0"/>
                <w:sz w:val="17"/>
              </w:rPr>
              <w:t>Number of vendors, academy participants, ghost-kitchen users, retail shelf participants, and alumni supported.</w:t>
            </w:r>
          </w:p>
        </w:tc>
      </w:tr>
      <w:tr>
        <w:tc>
          <w:tcPr>
            <w:tcW w:type="dxa" w:w="5040"/>
            <w:vAlign w:val="center"/>
          </w:tcPr>
          <w:p>
            <w:pPr>
              <w:spacing w:after="40"/>
            </w:pPr>
            <w:r>
              <w:rPr>
                <w:rFonts w:ascii="Arial" w:hAnsi="Arial"/>
                <w:sz w:val="17"/>
              </w:rPr>
            </w:r>
            <w:r>
              <w:rPr>
                <w:rFonts w:ascii="Arial" w:hAnsi="Arial"/>
                <w:b w:val="0"/>
                <w:sz w:val="17"/>
              </w:rPr>
              <w:t>People starting a business</w:t>
            </w:r>
          </w:p>
        </w:tc>
        <w:tc>
          <w:tcPr>
            <w:tcW w:type="dxa" w:w="5040"/>
            <w:vAlign w:val="center"/>
          </w:tcPr>
          <w:p>
            <w:pPr>
              <w:spacing w:after="40"/>
            </w:pPr>
            <w:r>
              <w:rPr>
                <w:rFonts w:ascii="Arial" w:hAnsi="Arial"/>
                <w:sz w:val="17"/>
              </w:rPr>
            </w:r>
            <w:r>
              <w:rPr>
                <w:rFonts w:ascii="Arial" w:hAnsi="Arial"/>
                <w:b w:val="0"/>
                <w:sz w:val="17"/>
              </w:rPr>
              <w:t>Number of entrepreneurs moving from idea stage into permitted sales, pop-ups, stalls, trucks, or packaged products.</w:t>
            </w:r>
          </w:p>
        </w:tc>
      </w:tr>
      <w:tr>
        <w:tc>
          <w:tcPr>
            <w:tcW w:type="dxa" w:w="5040"/>
            <w:vAlign w:val="center"/>
          </w:tcPr>
          <w:p>
            <w:pPr>
              <w:spacing w:after="40"/>
            </w:pPr>
            <w:r>
              <w:rPr>
                <w:rFonts w:ascii="Arial" w:hAnsi="Arial"/>
                <w:sz w:val="17"/>
              </w:rPr>
            </w:r>
            <w:r>
              <w:rPr>
                <w:rFonts w:ascii="Arial" w:hAnsi="Arial"/>
                <w:b w:val="0"/>
                <w:sz w:val="17"/>
              </w:rPr>
              <w:t>Companies/businesses supported</w:t>
            </w:r>
          </w:p>
        </w:tc>
        <w:tc>
          <w:tcPr>
            <w:tcW w:type="dxa" w:w="5040"/>
            <w:vAlign w:val="center"/>
          </w:tcPr>
          <w:p>
            <w:pPr>
              <w:spacing w:after="40"/>
            </w:pPr>
            <w:r>
              <w:rPr>
                <w:rFonts w:ascii="Arial" w:hAnsi="Arial"/>
                <w:sz w:val="17"/>
              </w:rPr>
            </w:r>
            <w:r>
              <w:rPr>
                <w:rFonts w:ascii="Arial" w:hAnsi="Arial"/>
                <w:b w:val="0"/>
                <w:sz w:val="17"/>
              </w:rPr>
              <w:t>Number of distinct business entities receiving kitchen, stall, training, retail, or advisory support.</w:t>
            </w:r>
          </w:p>
        </w:tc>
      </w:tr>
      <w:tr>
        <w:tc>
          <w:tcPr>
            <w:tcW w:type="dxa" w:w="5040"/>
            <w:vAlign w:val="center"/>
          </w:tcPr>
          <w:p>
            <w:pPr>
              <w:spacing w:after="40"/>
            </w:pPr>
            <w:r>
              <w:rPr>
                <w:rFonts w:ascii="Arial" w:hAnsi="Arial"/>
                <w:sz w:val="17"/>
              </w:rPr>
            </w:r>
            <w:r>
              <w:rPr>
                <w:rFonts w:ascii="Arial" w:hAnsi="Arial"/>
                <w:b w:val="0"/>
                <w:sz w:val="17"/>
              </w:rPr>
              <w:t>Facility usage</w:t>
            </w:r>
          </w:p>
        </w:tc>
        <w:tc>
          <w:tcPr>
            <w:tcW w:type="dxa" w:w="5040"/>
            <w:vAlign w:val="center"/>
          </w:tcPr>
          <w:p>
            <w:pPr>
              <w:spacing w:after="40"/>
            </w:pPr>
            <w:r>
              <w:rPr>
                <w:rFonts w:ascii="Arial" w:hAnsi="Arial"/>
                <w:sz w:val="17"/>
              </w:rPr>
            </w:r>
            <w:r>
              <w:rPr>
                <w:rFonts w:ascii="Arial" w:hAnsi="Arial"/>
                <w:b w:val="0"/>
                <w:sz w:val="17"/>
              </w:rPr>
              <w:t>Monthly number of people or operator-hours using kitchen, stalls, event space, training rooms, and shared services.</w:t>
            </w:r>
          </w:p>
        </w:tc>
      </w:tr>
      <w:tr>
        <w:tc>
          <w:tcPr>
            <w:tcW w:type="dxa" w:w="5040"/>
            <w:vAlign w:val="center"/>
          </w:tcPr>
          <w:p>
            <w:pPr>
              <w:spacing w:after="40"/>
            </w:pPr>
            <w:r>
              <w:rPr>
                <w:rFonts w:ascii="Arial" w:hAnsi="Arial"/>
                <w:sz w:val="17"/>
              </w:rPr>
            </w:r>
            <w:r>
              <w:rPr>
                <w:rFonts w:ascii="Arial" w:hAnsi="Arial"/>
                <w:b w:val="0"/>
                <w:sz w:val="17"/>
              </w:rPr>
              <w:t>Jobs supported</w:t>
            </w:r>
          </w:p>
        </w:tc>
        <w:tc>
          <w:tcPr>
            <w:tcW w:type="dxa" w:w="5040"/>
            <w:vAlign w:val="center"/>
          </w:tcPr>
          <w:p>
            <w:pPr>
              <w:spacing w:after="40"/>
            </w:pPr>
            <w:r>
              <w:rPr>
                <w:rFonts w:ascii="Arial" w:hAnsi="Arial"/>
                <w:sz w:val="17"/>
              </w:rPr>
            </w:r>
            <w:r>
              <w:rPr>
                <w:rFonts w:ascii="Arial" w:hAnsi="Arial"/>
                <w:b w:val="0"/>
                <w:sz w:val="17"/>
              </w:rPr>
              <w:t>Direct Hub jobs plus vendor-employed staff and apprentice placements.</w:t>
            </w:r>
          </w:p>
        </w:tc>
      </w:tr>
      <w:tr>
        <w:tc>
          <w:tcPr>
            <w:tcW w:type="dxa" w:w="5040"/>
            <w:vAlign w:val="center"/>
          </w:tcPr>
          <w:p>
            <w:pPr>
              <w:spacing w:after="40"/>
            </w:pPr>
            <w:r>
              <w:rPr>
                <w:rFonts w:ascii="Arial" w:hAnsi="Arial"/>
                <w:sz w:val="17"/>
              </w:rPr>
            </w:r>
            <w:r>
              <w:rPr>
                <w:rFonts w:ascii="Arial" w:hAnsi="Arial"/>
                <w:b w:val="0"/>
                <w:sz w:val="17"/>
              </w:rPr>
              <w:t>Gross revenue generated by clients</w:t>
            </w:r>
          </w:p>
        </w:tc>
        <w:tc>
          <w:tcPr>
            <w:tcW w:type="dxa" w:w="5040"/>
            <w:vAlign w:val="center"/>
          </w:tcPr>
          <w:p>
            <w:pPr>
              <w:spacing w:after="40"/>
            </w:pPr>
            <w:r>
              <w:rPr>
                <w:rFonts w:ascii="Arial" w:hAnsi="Arial"/>
                <w:sz w:val="17"/>
              </w:rPr>
            </w:r>
            <w:r>
              <w:rPr>
                <w:rFonts w:ascii="Arial" w:hAnsi="Arial"/>
                <w:b w:val="0"/>
                <w:sz w:val="17"/>
              </w:rPr>
              <w:t>Vendor gross sales by stall, event, retail shelf, ghost kitchen, and packaged product category.</w:t>
            </w:r>
          </w:p>
        </w:tc>
      </w:tr>
      <w:tr>
        <w:tc>
          <w:tcPr>
            <w:tcW w:type="dxa" w:w="5040"/>
            <w:vAlign w:val="center"/>
          </w:tcPr>
          <w:p>
            <w:pPr>
              <w:spacing w:after="40"/>
            </w:pPr>
            <w:r>
              <w:rPr>
                <w:rFonts w:ascii="Arial" w:hAnsi="Arial"/>
                <w:sz w:val="17"/>
              </w:rPr>
            </w:r>
            <w:r>
              <w:rPr>
                <w:rFonts w:ascii="Arial" w:hAnsi="Arial"/>
                <w:b w:val="0"/>
                <w:sz w:val="17"/>
              </w:rPr>
              <w:t>Local purchases</w:t>
            </w:r>
          </w:p>
        </w:tc>
        <w:tc>
          <w:tcPr>
            <w:tcW w:type="dxa" w:w="5040"/>
            <w:vAlign w:val="center"/>
          </w:tcPr>
          <w:p>
            <w:pPr>
              <w:spacing w:after="40"/>
            </w:pPr>
            <w:r>
              <w:rPr>
                <w:rFonts w:ascii="Arial" w:hAnsi="Arial"/>
                <w:sz w:val="17"/>
              </w:rPr>
            </w:r>
            <w:r>
              <w:rPr>
                <w:rFonts w:ascii="Arial" w:hAnsi="Arial"/>
                <w:b w:val="0"/>
                <w:sz w:val="17"/>
              </w:rPr>
              <w:t>Purchases from New Mexico producers, growers, cidery partners, packaging suppliers, and service providers.</w:t>
            </w:r>
          </w:p>
        </w:tc>
      </w:tr>
      <w:tr>
        <w:tc>
          <w:tcPr>
            <w:tcW w:type="dxa" w:w="5040"/>
            <w:vAlign w:val="center"/>
          </w:tcPr>
          <w:p>
            <w:pPr>
              <w:spacing w:after="40"/>
            </w:pPr>
            <w:r>
              <w:rPr>
                <w:rFonts w:ascii="Arial" w:hAnsi="Arial"/>
                <w:sz w:val="17"/>
              </w:rPr>
            </w:r>
            <w:r>
              <w:rPr>
                <w:rFonts w:ascii="Arial" w:hAnsi="Arial"/>
                <w:b w:val="0"/>
                <w:sz w:val="17"/>
              </w:rPr>
              <w:t>Women-owned and minority-owned businesses</w:t>
            </w:r>
          </w:p>
        </w:tc>
        <w:tc>
          <w:tcPr>
            <w:tcW w:type="dxa" w:w="5040"/>
            <w:vAlign w:val="center"/>
          </w:tcPr>
          <w:p>
            <w:pPr>
              <w:spacing w:after="40"/>
            </w:pPr>
            <w:r>
              <w:rPr>
                <w:rFonts w:ascii="Arial" w:hAnsi="Arial"/>
                <w:sz w:val="17"/>
              </w:rPr>
            </w:r>
            <w:r>
              <w:rPr>
                <w:rFonts w:ascii="Arial" w:hAnsi="Arial"/>
                <w:b w:val="0"/>
                <w:sz w:val="17"/>
              </w:rPr>
              <w:t>Self-reported ownership demographics tracked respectfully and only for legitimate reporting purposes.</w:t>
            </w:r>
          </w:p>
        </w:tc>
      </w:tr>
    </w:tbl>
    <w:p/>
    <w:p>
      <w:pPr>
        <w:pStyle w:val="Heading2"/>
      </w:pPr>
      <w:r>
        <w:t>6.1 KPI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KPI</w:t>
            </w:r>
          </w:p>
        </w:tc>
        <w:tc>
          <w:tcPr>
            <w:tcW w:type="dxa" w:w="3360"/>
            <w:vAlign w:val="center"/>
            <w:shd w:fill="1F4E5F"/>
          </w:tcPr>
          <w:p>
            <w:pPr>
              <w:spacing w:after="40"/>
            </w:pPr>
            <w:r>
              <w:rPr>
                <w:rFonts w:ascii="Arial" w:hAnsi="Arial"/>
                <w:sz w:val="17"/>
              </w:rPr>
            </w:r>
            <w:r>
              <w:rPr>
                <w:rFonts w:ascii="Arial" w:hAnsi="Arial"/>
                <w:b/>
                <w:color w:val="FFFFFF"/>
                <w:sz w:val="17"/>
              </w:rPr>
              <w:t>Why It Matters</w:t>
            </w:r>
          </w:p>
        </w:tc>
        <w:tc>
          <w:tcPr>
            <w:tcW w:type="dxa" w:w="3360"/>
            <w:vAlign w:val="center"/>
            <w:shd w:fill="1F4E5F"/>
          </w:tcPr>
          <w:p>
            <w:pPr>
              <w:spacing w:after="40"/>
            </w:pPr>
            <w:r>
              <w:rPr>
                <w:rFonts w:ascii="Arial" w:hAnsi="Arial"/>
                <w:sz w:val="17"/>
              </w:rPr>
            </w:r>
            <w:r>
              <w:rPr>
                <w:rFonts w:ascii="Arial" w:hAnsi="Arial"/>
                <w:b/>
                <w:color w:val="FFFFFF"/>
                <w:sz w:val="17"/>
              </w:rPr>
              <w:t>Target / Review Use</w:t>
            </w:r>
          </w:p>
        </w:tc>
      </w:tr>
      <w:tr>
        <w:tc>
          <w:tcPr>
            <w:tcW w:type="dxa" w:w="3360"/>
            <w:vAlign w:val="center"/>
          </w:tcPr>
          <w:p>
            <w:pPr>
              <w:spacing w:after="40"/>
            </w:pPr>
            <w:r>
              <w:rPr>
                <w:rFonts w:ascii="Arial" w:hAnsi="Arial"/>
                <w:sz w:val="17"/>
              </w:rPr>
            </w:r>
            <w:r>
              <w:rPr>
                <w:rFonts w:ascii="Arial" w:hAnsi="Arial"/>
                <w:b w:val="0"/>
                <w:sz w:val="17"/>
              </w:rPr>
              <w:t>Occupancy</w:t>
            </w:r>
          </w:p>
        </w:tc>
        <w:tc>
          <w:tcPr>
            <w:tcW w:type="dxa" w:w="3360"/>
            <w:vAlign w:val="center"/>
          </w:tcPr>
          <w:p>
            <w:pPr>
              <w:spacing w:after="40"/>
            </w:pPr>
            <w:r>
              <w:rPr>
                <w:rFonts w:ascii="Arial" w:hAnsi="Arial"/>
                <w:sz w:val="17"/>
              </w:rPr>
            </w:r>
            <w:r>
              <w:rPr>
                <w:rFonts w:ascii="Arial" w:hAnsi="Arial"/>
                <w:b w:val="0"/>
                <w:sz w:val="17"/>
              </w:rPr>
              <w:t>Shows revenue stability and pipeline health.</w:t>
            </w:r>
          </w:p>
        </w:tc>
        <w:tc>
          <w:tcPr>
            <w:tcW w:type="dxa" w:w="3360"/>
            <w:vAlign w:val="center"/>
          </w:tcPr>
          <w:p>
            <w:pPr>
              <w:spacing w:after="40"/>
            </w:pPr>
            <w:r>
              <w:rPr>
                <w:rFonts w:ascii="Arial" w:hAnsi="Arial"/>
                <w:sz w:val="17"/>
              </w:rPr>
            </w:r>
            <w:r>
              <w:rPr>
                <w:rFonts w:ascii="Arial" w:hAnsi="Arial"/>
                <w:b w:val="0"/>
                <w:sz w:val="17"/>
              </w:rPr>
              <w:t>Review weekly during launch; monthly after stable.</w:t>
            </w:r>
          </w:p>
        </w:tc>
      </w:tr>
      <w:tr>
        <w:tc>
          <w:tcPr>
            <w:tcW w:type="dxa" w:w="3360"/>
            <w:vAlign w:val="center"/>
          </w:tcPr>
          <w:p>
            <w:pPr>
              <w:spacing w:after="40"/>
            </w:pPr>
            <w:r>
              <w:rPr>
                <w:rFonts w:ascii="Arial" w:hAnsi="Arial"/>
                <w:sz w:val="17"/>
              </w:rPr>
            </w:r>
            <w:r>
              <w:rPr>
                <w:rFonts w:ascii="Arial" w:hAnsi="Arial"/>
                <w:b w:val="0"/>
                <w:sz w:val="17"/>
              </w:rPr>
              <w:t>Vendor sales per stall</w:t>
            </w:r>
          </w:p>
        </w:tc>
        <w:tc>
          <w:tcPr>
            <w:tcW w:type="dxa" w:w="3360"/>
            <w:vAlign w:val="center"/>
          </w:tcPr>
          <w:p>
            <w:pPr>
              <w:spacing w:after="40"/>
            </w:pPr>
            <w:r>
              <w:rPr>
                <w:rFonts w:ascii="Arial" w:hAnsi="Arial"/>
                <w:sz w:val="17"/>
              </w:rPr>
            </w:r>
            <w:r>
              <w:rPr>
                <w:rFonts w:ascii="Arial" w:hAnsi="Arial"/>
                <w:b w:val="0"/>
                <w:sz w:val="17"/>
              </w:rPr>
              <w:t>Measures concept demand and hall traffic capture.</w:t>
            </w:r>
          </w:p>
        </w:tc>
        <w:tc>
          <w:tcPr>
            <w:tcW w:type="dxa" w:w="3360"/>
            <w:vAlign w:val="center"/>
          </w:tcPr>
          <w:p>
            <w:pPr>
              <w:spacing w:after="40"/>
            </w:pPr>
            <w:r>
              <w:rPr>
                <w:rFonts w:ascii="Arial" w:hAnsi="Arial"/>
                <w:sz w:val="17"/>
              </w:rPr>
            </w:r>
            <w:r>
              <w:rPr>
                <w:rFonts w:ascii="Arial" w:hAnsi="Arial"/>
                <w:b w:val="0"/>
                <w:sz w:val="17"/>
              </w:rPr>
              <w:t>Compare to ramp model.</w:t>
            </w:r>
          </w:p>
        </w:tc>
      </w:tr>
      <w:tr>
        <w:tc>
          <w:tcPr>
            <w:tcW w:type="dxa" w:w="3360"/>
            <w:vAlign w:val="center"/>
          </w:tcPr>
          <w:p>
            <w:pPr>
              <w:spacing w:after="40"/>
            </w:pPr>
            <w:r>
              <w:rPr>
                <w:rFonts w:ascii="Arial" w:hAnsi="Arial"/>
                <w:sz w:val="17"/>
              </w:rPr>
            </w:r>
            <w:r>
              <w:rPr>
                <w:rFonts w:ascii="Arial" w:hAnsi="Arial"/>
                <w:b w:val="0"/>
                <w:sz w:val="17"/>
              </w:rPr>
              <w:t>Rent-to-sales ratio</w:t>
            </w:r>
          </w:p>
        </w:tc>
        <w:tc>
          <w:tcPr>
            <w:tcW w:type="dxa" w:w="3360"/>
            <w:vAlign w:val="center"/>
          </w:tcPr>
          <w:p>
            <w:pPr>
              <w:spacing w:after="40"/>
            </w:pPr>
            <w:r>
              <w:rPr>
                <w:rFonts w:ascii="Arial" w:hAnsi="Arial"/>
                <w:sz w:val="17"/>
              </w:rPr>
            </w:r>
            <w:r>
              <w:rPr>
                <w:rFonts w:ascii="Arial" w:hAnsi="Arial"/>
                <w:b w:val="0"/>
                <w:sz w:val="17"/>
              </w:rPr>
              <w:t>Protects vendor sustainability.</w:t>
            </w:r>
          </w:p>
        </w:tc>
        <w:tc>
          <w:tcPr>
            <w:tcW w:type="dxa" w:w="3360"/>
            <w:vAlign w:val="center"/>
          </w:tcPr>
          <w:p>
            <w:pPr>
              <w:spacing w:after="40"/>
            </w:pPr>
            <w:r>
              <w:rPr>
                <w:rFonts w:ascii="Arial" w:hAnsi="Arial"/>
                <w:sz w:val="17"/>
              </w:rPr>
            </w:r>
            <w:r>
              <w:rPr>
                <w:rFonts w:ascii="Arial" w:hAnsi="Arial"/>
                <w:b w:val="0"/>
                <w:sz w:val="17"/>
              </w:rPr>
              <w:t>Flag for coaching if too high.</w:t>
            </w:r>
          </w:p>
        </w:tc>
      </w:tr>
      <w:tr>
        <w:tc>
          <w:tcPr>
            <w:tcW w:type="dxa" w:w="3360"/>
            <w:vAlign w:val="center"/>
          </w:tcPr>
          <w:p>
            <w:pPr>
              <w:spacing w:after="40"/>
            </w:pPr>
            <w:r>
              <w:rPr>
                <w:rFonts w:ascii="Arial" w:hAnsi="Arial"/>
                <w:sz w:val="17"/>
              </w:rPr>
            </w:r>
            <w:r>
              <w:rPr>
                <w:rFonts w:ascii="Arial" w:hAnsi="Arial"/>
                <w:b w:val="0"/>
                <w:sz w:val="17"/>
              </w:rPr>
              <w:t>Gross margin / food cost</w:t>
            </w:r>
          </w:p>
        </w:tc>
        <w:tc>
          <w:tcPr>
            <w:tcW w:type="dxa" w:w="3360"/>
            <w:vAlign w:val="center"/>
          </w:tcPr>
          <w:p>
            <w:pPr>
              <w:spacing w:after="40"/>
            </w:pPr>
            <w:r>
              <w:rPr>
                <w:rFonts w:ascii="Arial" w:hAnsi="Arial"/>
                <w:sz w:val="17"/>
              </w:rPr>
            </w:r>
            <w:r>
              <w:rPr>
                <w:rFonts w:ascii="Arial" w:hAnsi="Arial"/>
                <w:b w:val="0"/>
                <w:sz w:val="17"/>
              </w:rPr>
              <w:t>Shows operator financial health.</w:t>
            </w:r>
          </w:p>
        </w:tc>
        <w:tc>
          <w:tcPr>
            <w:tcW w:type="dxa" w:w="3360"/>
            <w:vAlign w:val="center"/>
          </w:tcPr>
          <w:p>
            <w:pPr>
              <w:spacing w:after="40"/>
            </w:pPr>
            <w:r>
              <w:rPr>
                <w:rFonts w:ascii="Arial" w:hAnsi="Arial"/>
                <w:sz w:val="17"/>
              </w:rPr>
            </w:r>
            <w:r>
              <w:rPr>
                <w:rFonts w:ascii="Arial" w:hAnsi="Arial"/>
                <w:b w:val="0"/>
                <w:sz w:val="17"/>
              </w:rPr>
              <w:t>Review monthly with vendor.</w:t>
            </w:r>
          </w:p>
        </w:tc>
      </w:tr>
      <w:tr>
        <w:tc>
          <w:tcPr>
            <w:tcW w:type="dxa" w:w="3360"/>
            <w:vAlign w:val="center"/>
          </w:tcPr>
          <w:p>
            <w:pPr>
              <w:spacing w:after="40"/>
            </w:pPr>
            <w:r>
              <w:rPr>
                <w:rFonts w:ascii="Arial" w:hAnsi="Arial"/>
                <w:sz w:val="17"/>
              </w:rPr>
            </w:r>
            <w:r>
              <w:rPr>
                <w:rFonts w:ascii="Arial" w:hAnsi="Arial"/>
                <w:b w:val="0"/>
                <w:sz w:val="17"/>
              </w:rPr>
              <w:t>Guest rating / complaints</w:t>
            </w:r>
          </w:p>
        </w:tc>
        <w:tc>
          <w:tcPr>
            <w:tcW w:type="dxa" w:w="3360"/>
            <w:vAlign w:val="center"/>
          </w:tcPr>
          <w:p>
            <w:pPr>
              <w:spacing w:after="40"/>
            </w:pPr>
            <w:r>
              <w:rPr>
                <w:rFonts w:ascii="Arial" w:hAnsi="Arial"/>
                <w:sz w:val="17"/>
              </w:rPr>
            </w:r>
            <w:r>
              <w:rPr>
                <w:rFonts w:ascii="Arial" w:hAnsi="Arial"/>
                <w:b w:val="0"/>
                <w:sz w:val="17"/>
              </w:rPr>
              <w:t>Measures quality and reputation.</w:t>
            </w:r>
          </w:p>
        </w:tc>
        <w:tc>
          <w:tcPr>
            <w:tcW w:type="dxa" w:w="3360"/>
            <w:vAlign w:val="center"/>
          </w:tcPr>
          <w:p>
            <w:pPr>
              <w:spacing w:after="40"/>
            </w:pPr>
            <w:r>
              <w:rPr>
                <w:rFonts w:ascii="Arial" w:hAnsi="Arial"/>
                <w:sz w:val="17"/>
              </w:rPr>
            </w:r>
            <w:r>
              <w:rPr>
                <w:rFonts w:ascii="Arial" w:hAnsi="Arial"/>
                <w:b w:val="0"/>
                <w:sz w:val="17"/>
              </w:rPr>
              <w:t>Trigger quality plan if negative trend.</w:t>
            </w:r>
          </w:p>
        </w:tc>
      </w:tr>
      <w:tr>
        <w:tc>
          <w:tcPr>
            <w:tcW w:type="dxa" w:w="3360"/>
            <w:vAlign w:val="center"/>
          </w:tcPr>
          <w:p>
            <w:pPr>
              <w:spacing w:after="40"/>
            </w:pPr>
            <w:r>
              <w:rPr>
                <w:rFonts w:ascii="Arial" w:hAnsi="Arial"/>
                <w:sz w:val="17"/>
              </w:rPr>
            </w:r>
            <w:r>
              <w:rPr>
                <w:rFonts w:ascii="Arial" w:hAnsi="Arial"/>
                <w:b w:val="0"/>
                <w:sz w:val="17"/>
              </w:rPr>
              <w:t>Compliance score</w:t>
            </w:r>
          </w:p>
        </w:tc>
        <w:tc>
          <w:tcPr>
            <w:tcW w:type="dxa" w:w="3360"/>
            <w:vAlign w:val="center"/>
          </w:tcPr>
          <w:p>
            <w:pPr>
              <w:spacing w:after="40"/>
            </w:pPr>
            <w:r>
              <w:rPr>
                <w:rFonts w:ascii="Arial" w:hAnsi="Arial"/>
                <w:sz w:val="17"/>
              </w:rPr>
            </w:r>
            <w:r>
              <w:rPr>
                <w:rFonts w:ascii="Arial" w:hAnsi="Arial"/>
                <w:b w:val="0"/>
                <w:sz w:val="17"/>
              </w:rPr>
              <w:t>Tracks logs, cleanliness, training, permits.</w:t>
            </w:r>
          </w:p>
        </w:tc>
        <w:tc>
          <w:tcPr>
            <w:tcW w:type="dxa" w:w="3360"/>
            <w:vAlign w:val="center"/>
          </w:tcPr>
          <w:p>
            <w:pPr>
              <w:spacing w:after="40"/>
            </w:pPr>
            <w:r>
              <w:rPr>
                <w:rFonts w:ascii="Arial" w:hAnsi="Arial"/>
                <w:sz w:val="17"/>
              </w:rPr>
            </w:r>
            <w:r>
              <w:rPr>
                <w:rFonts w:ascii="Arial" w:hAnsi="Arial"/>
                <w:b w:val="0"/>
                <w:sz w:val="17"/>
              </w:rPr>
              <w:t>Trigger corrective action.</w:t>
            </w:r>
          </w:p>
        </w:tc>
      </w:tr>
      <w:tr>
        <w:tc>
          <w:tcPr>
            <w:tcW w:type="dxa" w:w="3360"/>
            <w:vAlign w:val="center"/>
          </w:tcPr>
          <w:p>
            <w:pPr>
              <w:spacing w:after="40"/>
            </w:pPr>
            <w:r>
              <w:rPr>
                <w:rFonts w:ascii="Arial" w:hAnsi="Arial"/>
                <w:sz w:val="17"/>
              </w:rPr>
            </w:r>
            <w:r>
              <w:rPr>
                <w:rFonts w:ascii="Arial" w:hAnsi="Arial"/>
                <w:b w:val="0"/>
                <w:sz w:val="17"/>
              </w:rPr>
              <w:t>Graduation readiness</w:t>
            </w:r>
          </w:p>
        </w:tc>
        <w:tc>
          <w:tcPr>
            <w:tcW w:type="dxa" w:w="3360"/>
            <w:vAlign w:val="center"/>
          </w:tcPr>
          <w:p>
            <w:pPr>
              <w:spacing w:after="40"/>
            </w:pPr>
            <w:r>
              <w:rPr>
                <w:rFonts w:ascii="Arial" w:hAnsi="Arial"/>
                <w:sz w:val="17"/>
              </w:rPr>
            </w:r>
            <w:r>
              <w:rPr>
                <w:rFonts w:ascii="Arial" w:hAnsi="Arial"/>
                <w:b w:val="0"/>
                <w:sz w:val="17"/>
              </w:rPr>
              <w:t>Measures incubator mission.</w:t>
            </w:r>
          </w:p>
        </w:tc>
        <w:tc>
          <w:tcPr>
            <w:tcW w:type="dxa" w:w="3360"/>
            <w:vAlign w:val="center"/>
          </w:tcPr>
          <w:p>
            <w:pPr>
              <w:spacing w:after="40"/>
            </w:pPr>
            <w:r>
              <w:rPr>
                <w:rFonts w:ascii="Arial" w:hAnsi="Arial"/>
                <w:sz w:val="17"/>
              </w:rPr>
            </w:r>
            <w:r>
              <w:rPr>
                <w:rFonts w:ascii="Arial" w:hAnsi="Arial"/>
                <w:b w:val="0"/>
                <w:sz w:val="17"/>
              </w:rPr>
              <w:t>Review quarterly.</w:t>
            </w:r>
          </w:p>
        </w:tc>
      </w:tr>
      <w:tr>
        <w:tc>
          <w:tcPr>
            <w:tcW w:type="dxa" w:w="3360"/>
            <w:vAlign w:val="center"/>
          </w:tcPr>
          <w:p>
            <w:pPr>
              <w:spacing w:after="40"/>
            </w:pPr>
            <w:r>
              <w:rPr>
                <w:rFonts w:ascii="Arial" w:hAnsi="Arial"/>
                <w:sz w:val="17"/>
              </w:rPr>
            </w:r>
            <w:r>
              <w:rPr>
                <w:rFonts w:ascii="Arial" w:hAnsi="Arial"/>
                <w:b w:val="0"/>
                <w:sz w:val="17"/>
              </w:rPr>
              <w:t>Event uplift</w:t>
            </w:r>
          </w:p>
        </w:tc>
        <w:tc>
          <w:tcPr>
            <w:tcW w:type="dxa" w:w="3360"/>
            <w:vAlign w:val="center"/>
          </w:tcPr>
          <w:p>
            <w:pPr>
              <w:spacing w:after="40"/>
            </w:pPr>
            <w:r>
              <w:rPr>
                <w:rFonts w:ascii="Arial" w:hAnsi="Arial"/>
                <w:sz w:val="17"/>
              </w:rPr>
            </w:r>
            <w:r>
              <w:rPr>
                <w:rFonts w:ascii="Arial" w:hAnsi="Arial"/>
                <w:b w:val="0"/>
                <w:sz w:val="17"/>
              </w:rPr>
              <w:t>Shows programming value.</w:t>
            </w:r>
          </w:p>
        </w:tc>
        <w:tc>
          <w:tcPr>
            <w:tcW w:type="dxa" w:w="3360"/>
            <w:vAlign w:val="center"/>
          </w:tcPr>
          <w:p>
            <w:pPr>
              <w:spacing w:after="40"/>
            </w:pPr>
            <w:r>
              <w:rPr>
                <w:rFonts w:ascii="Arial" w:hAnsi="Arial"/>
                <w:sz w:val="17"/>
              </w:rPr>
            </w:r>
            <w:r>
              <w:rPr>
                <w:rFonts w:ascii="Arial" w:hAnsi="Arial"/>
                <w:b w:val="0"/>
                <w:sz w:val="17"/>
              </w:rPr>
              <w:t>Compare event days to normal days.</w:t>
            </w:r>
          </w:p>
        </w:tc>
      </w:tr>
      <w:tr>
        <w:tc>
          <w:tcPr>
            <w:tcW w:type="dxa" w:w="3360"/>
            <w:vAlign w:val="center"/>
          </w:tcPr>
          <w:p>
            <w:pPr>
              <w:spacing w:after="40"/>
            </w:pPr>
            <w:r>
              <w:rPr>
                <w:rFonts w:ascii="Arial" w:hAnsi="Arial"/>
                <w:sz w:val="17"/>
              </w:rPr>
            </w:r>
            <w:r>
              <w:rPr>
                <w:rFonts w:ascii="Arial" w:hAnsi="Arial"/>
                <w:b w:val="0"/>
                <w:sz w:val="17"/>
              </w:rPr>
              <w:t>Project NOI / DSCR</w:t>
            </w:r>
          </w:p>
        </w:tc>
        <w:tc>
          <w:tcPr>
            <w:tcW w:type="dxa" w:w="3360"/>
            <w:vAlign w:val="center"/>
          </w:tcPr>
          <w:p>
            <w:pPr>
              <w:spacing w:after="40"/>
            </w:pPr>
            <w:r>
              <w:rPr>
                <w:rFonts w:ascii="Arial" w:hAnsi="Arial"/>
                <w:sz w:val="17"/>
              </w:rPr>
            </w:r>
            <w:r>
              <w:rPr>
                <w:rFonts w:ascii="Arial" w:hAnsi="Arial"/>
                <w:b w:val="0"/>
                <w:sz w:val="17"/>
              </w:rPr>
              <w:t>Supports lender/investor confidence.</w:t>
            </w:r>
          </w:p>
        </w:tc>
        <w:tc>
          <w:tcPr>
            <w:tcW w:type="dxa" w:w="3360"/>
            <w:vAlign w:val="center"/>
          </w:tcPr>
          <w:p>
            <w:pPr>
              <w:spacing w:after="40"/>
            </w:pPr>
            <w:r>
              <w:rPr>
                <w:rFonts w:ascii="Arial" w:hAnsi="Arial"/>
                <w:sz w:val="17"/>
              </w:rPr>
            </w:r>
            <w:r>
              <w:rPr>
                <w:rFonts w:ascii="Arial" w:hAnsi="Arial"/>
                <w:b w:val="0"/>
                <w:sz w:val="17"/>
              </w:rPr>
              <w:t>Review monthly/quarterly.</w:t>
            </w:r>
          </w:p>
        </w:tc>
      </w:tr>
    </w:tbl>
    <w:p/>
    <w:p>
      <w:pPr>
        <w:pStyle w:val="Heading2"/>
      </w:pPr>
      <w:r>
        <w:t>7.0A SVEDC-Informed Partner and Referral Strategy</w:t>
      </w:r>
    </w:p>
    <w:p>
      <w:r>
        <w:t>SVEDC's model highlights the importance of partner organizations, business advisors, client services, maintenance support, collaborative food systems staff, and external affiliations. The Hub should formalize a similar referral and support network so vendors receive help beyond kitchen space.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40"/>
            </w:pPr>
            <w:r>
              <w:rPr>
                <w:rFonts w:ascii="Arial" w:hAnsi="Arial"/>
                <w:sz w:val="17"/>
              </w:rPr>
            </w:r>
            <w:r>
              <w:rPr>
                <w:rFonts w:ascii="Arial" w:hAnsi="Arial"/>
                <w:b/>
                <w:color w:val="FFFFFF"/>
                <w:sz w:val="17"/>
              </w:rPr>
              <w:t>Partner Role</w:t>
            </w:r>
          </w:p>
        </w:tc>
        <w:tc>
          <w:tcPr>
            <w:tcW w:type="dxa" w:w="5040"/>
            <w:vAlign w:val="center"/>
            <w:shd w:fill="1F4E5F"/>
          </w:tcPr>
          <w:p>
            <w:pPr>
              <w:spacing w:after="40"/>
            </w:pPr>
            <w:r>
              <w:rPr>
                <w:rFonts w:ascii="Arial" w:hAnsi="Arial"/>
                <w:sz w:val="17"/>
              </w:rPr>
            </w:r>
            <w:r>
              <w:rPr>
                <w:rFonts w:ascii="Arial" w:hAnsi="Arial"/>
                <w:b/>
                <w:color w:val="FFFFFF"/>
                <w:sz w:val="17"/>
              </w:rPr>
              <w:t>Recommended Hub Use</w:t>
            </w:r>
          </w:p>
        </w:tc>
      </w:tr>
      <w:tr>
        <w:tc>
          <w:tcPr>
            <w:tcW w:type="dxa" w:w="5040"/>
            <w:vAlign w:val="center"/>
          </w:tcPr>
          <w:p>
            <w:pPr>
              <w:spacing w:after="40"/>
            </w:pPr>
            <w:r>
              <w:rPr>
                <w:rFonts w:ascii="Arial" w:hAnsi="Arial"/>
                <w:sz w:val="17"/>
              </w:rPr>
            </w:r>
            <w:r>
              <w:rPr>
                <w:rFonts w:ascii="Arial" w:hAnsi="Arial"/>
                <w:b w:val="0"/>
                <w:sz w:val="17"/>
              </w:rPr>
              <w:t>Business advisor</w:t>
            </w:r>
          </w:p>
        </w:tc>
        <w:tc>
          <w:tcPr>
            <w:tcW w:type="dxa" w:w="5040"/>
            <w:vAlign w:val="center"/>
          </w:tcPr>
          <w:p>
            <w:pPr>
              <w:spacing w:after="40"/>
            </w:pPr>
            <w:r>
              <w:rPr>
                <w:rFonts w:ascii="Arial" w:hAnsi="Arial"/>
                <w:sz w:val="17"/>
              </w:rPr>
            </w:r>
            <w:r>
              <w:rPr>
                <w:rFonts w:ascii="Arial" w:hAnsi="Arial"/>
                <w:b w:val="0"/>
                <w:sz w:val="17"/>
              </w:rPr>
              <w:t>Provide one-on-one coaching on business model, pricing, cash flow, staffing, and growth strategy.</w:t>
            </w:r>
          </w:p>
        </w:tc>
      </w:tr>
      <w:tr>
        <w:tc>
          <w:tcPr>
            <w:tcW w:type="dxa" w:w="5040"/>
            <w:vAlign w:val="center"/>
          </w:tcPr>
          <w:p>
            <w:pPr>
              <w:spacing w:after="40"/>
            </w:pPr>
            <w:r>
              <w:rPr>
                <w:rFonts w:ascii="Arial" w:hAnsi="Arial"/>
                <w:sz w:val="17"/>
              </w:rPr>
            </w:r>
            <w:r>
              <w:rPr>
                <w:rFonts w:ascii="Arial" w:hAnsi="Arial"/>
                <w:b w:val="0"/>
                <w:sz w:val="17"/>
              </w:rPr>
              <w:t>Food industry consultant</w:t>
            </w:r>
          </w:p>
        </w:tc>
        <w:tc>
          <w:tcPr>
            <w:tcW w:type="dxa" w:w="5040"/>
            <w:vAlign w:val="center"/>
          </w:tcPr>
          <w:p>
            <w:pPr>
              <w:spacing w:after="40"/>
            </w:pPr>
            <w:r>
              <w:rPr>
                <w:rFonts w:ascii="Arial" w:hAnsi="Arial"/>
                <w:sz w:val="17"/>
              </w:rPr>
            </w:r>
            <w:r>
              <w:rPr>
                <w:rFonts w:ascii="Arial" w:hAnsi="Arial"/>
                <w:b w:val="0"/>
                <w:sz w:val="17"/>
              </w:rPr>
              <w:t>Review menu feasibility, equipment fit, food safety workflow, packaging, and production scaling.</w:t>
            </w:r>
          </w:p>
        </w:tc>
      </w:tr>
      <w:tr>
        <w:tc>
          <w:tcPr>
            <w:tcW w:type="dxa" w:w="5040"/>
            <w:vAlign w:val="center"/>
          </w:tcPr>
          <w:p>
            <w:pPr>
              <w:spacing w:after="40"/>
            </w:pPr>
            <w:r>
              <w:rPr>
                <w:rFonts w:ascii="Arial" w:hAnsi="Arial"/>
                <w:sz w:val="17"/>
              </w:rPr>
            </w:r>
            <w:r>
              <w:rPr>
                <w:rFonts w:ascii="Arial" w:hAnsi="Arial"/>
                <w:b w:val="0"/>
                <w:sz w:val="17"/>
              </w:rPr>
              <w:t>Client services / program coordinator</w:t>
            </w:r>
          </w:p>
        </w:tc>
        <w:tc>
          <w:tcPr>
            <w:tcW w:type="dxa" w:w="5040"/>
            <w:vAlign w:val="center"/>
          </w:tcPr>
          <w:p>
            <w:pPr>
              <w:spacing w:after="40"/>
            </w:pPr>
            <w:r>
              <w:rPr>
                <w:rFonts w:ascii="Arial" w:hAnsi="Arial"/>
                <w:sz w:val="17"/>
              </w:rPr>
            </w:r>
            <w:r>
              <w:rPr>
                <w:rFonts w:ascii="Arial" w:hAnsi="Arial"/>
                <w:b w:val="0"/>
                <w:sz w:val="17"/>
              </w:rPr>
              <w:t>Manage applications, files, workshops, attendance, vendor communications, and referrals.</w:t>
            </w:r>
          </w:p>
        </w:tc>
      </w:tr>
      <w:tr>
        <w:tc>
          <w:tcPr>
            <w:tcW w:type="dxa" w:w="5040"/>
            <w:vAlign w:val="center"/>
          </w:tcPr>
          <w:p>
            <w:pPr>
              <w:spacing w:after="40"/>
            </w:pPr>
            <w:r>
              <w:rPr>
                <w:rFonts w:ascii="Arial" w:hAnsi="Arial"/>
                <w:sz w:val="17"/>
              </w:rPr>
            </w:r>
            <w:r>
              <w:rPr>
                <w:rFonts w:ascii="Arial" w:hAnsi="Arial"/>
                <w:b w:val="0"/>
                <w:sz w:val="17"/>
              </w:rPr>
              <w:t>Maintenance/facilities support</w:t>
            </w:r>
          </w:p>
        </w:tc>
        <w:tc>
          <w:tcPr>
            <w:tcW w:type="dxa" w:w="5040"/>
            <w:vAlign w:val="center"/>
          </w:tcPr>
          <w:p>
            <w:pPr>
              <w:spacing w:after="40"/>
            </w:pPr>
            <w:r>
              <w:rPr>
                <w:rFonts w:ascii="Arial" w:hAnsi="Arial"/>
                <w:sz w:val="17"/>
              </w:rPr>
            </w:r>
            <w:r>
              <w:rPr>
                <w:rFonts w:ascii="Arial" w:hAnsi="Arial"/>
                <w:b w:val="0"/>
                <w:sz w:val="17"/>
              </w:rPr>
              <w:t>Keep kitchen, stalls, shared equipment, utilities, and storage operating reliably.</w:t>
            </w:r>
          </w:p>
        </w:tc>
      </w:tr>
      <w:tr>
        <w:tc>
          <w:tcPr>
            <w:tcW w:type="dxa" w:w="5040"/>
            <w:vAlign w:val="center"/>
          </w:tcPr>
          <w:p>
            <w:pPr>
              <w:spacing w:after="40"/>
            </w:pPr>
            <w:r>
              <w:rPr>
                <w:rFonts w:ascii="Arial" w:hAnsi="Arial"/>
                <w:sz w:val="17"/>
              </w:rPr>
            </w:r>
            <w:r>
              <w:rPr>
                <w:rFonts w:ascii="Arial" w:hAnsi="Arial"/>
                <w:b w:val="0"/>
                <w:sz w:val="17"/>
              </w:rPr>
              <w:t>Collaborative food systems lead</w:t>
            </w:r>
          </w:p>
        </w:tc>
        <w:tc>
          <w:tcPr>
            <w:tcW w:type="dxa" w:w="5040"/>
            <w:vAlign w:val="center"/>
          </w:tcPr>
          <w:p>
            <w:pPr>
              <w:spacing w:after="40"/>
            </w:pPr>
            <w:r>
              <w:rPr>
                <w:rFonts w:ascii="Arial" w:hAnsi="Arial"/>
                <w:sz w:val="17"/>
              </w:rPr>
            </w:r>
            <w:r>
              <w:rPr>
                <w:rFonts w:ascii="Arial" w:hAnsi="Arial"/>
                <w:b w:val="0"/>
                <w:sz w:val="17"/>
              </w:rPr>
              <w:t>Connect vendors to growers, local sourcing, retail channels, institutions, and regional food networks.</w:t>
            </w:r>
          </w:p>
        </w:tc>
      </w:tr>
      <w:tr>
        <w:tc>
          <w:tcPr>
            <w:tcW w:type="dxa" w:w="5040"/>
            <w:vAlign w:val="center"/>
          </w:tcPr>
          <w:p>
            <w:pPr>
              <w:spacing w:after="40"/>
            </w:pPr>
            <w:r>
              <w:rPr>
                <w:rFonts w:ascii="Arial" w:hAnsi="Arial"/>
                <w:sz w:val="17"/>
              </w:rPr>
            </w:r>
            <w:r>
              <w:rPr>
                <w:rFonts w:ascii="Arial" w:hAnsi="Arial"/>
                <w:b w:val="0"/>
                <w:sz w:val="17"/>
              </w:rPr>
              <w:t>External partners</w:t>
            </w:r>
          </w:p>
        </w:tc>
        <w:tc>
          <w:tcPr>
            <w:tcW w:type="dxa" w:w="5040"/>
            <w:vAlign w:val="center"/>
          </w:tcPr>
          <w:p>
            <w:pPr>
              <w:spacing w:after="40"/>
            </w:pPr>
            <w:r>
              <w:rPr>
                <w:rFonts w:ascii="Arial" w:hAnsi="Arial"/>
                <w:sz w:val="17"/>
              </w:rPr>
            </w:r>
            <w:r>
              <w:rPr>
                <w:rFonts w:ascii="Arial" w:hAnsi="Arial"/>
                <w:b w:val="0"/>
                <w:sz w:val="17"/>
              </w:rPr>
              <w:t>Use SBDC/SCORE/WESST-style business support, lenders, legal/accounting referrals, workforce partners, and food system nonprofits.</w:t>
            </w:r>
          </w:p>
        </w:tc>
      </w:tr>
    </w:tbl>
    <w:p/>
    <w:p>
      <w:pPr>
        <w:pStyle w:val="Heading1"/>
      </w:pPr>
      <w:r>
        <w:t>7. Mentorship, Training, and Community Integration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Support Area</w:t>
            </w:r>
          </w:p>
        </w:tc>
        <w:tc>
          <w:tcPr>
            <w:tcW w:type="dxa" w:w="3360"/>
            <w:vAlign w:val="center"/>
            <w:shd w:fill="1F4E5F"/>
          </w:tcPr>
          <w:p>
            <w:pPr>
              <w:spacing w:after="40"/>
            </w:pPr>
            <w:r>
              <w:rPr>
                <w:rFonts w:ascii="Arial" w:hAnsi="Arial"/>
                <w:sz w:val="17"/>
              </w:rPr>
            </w:r>
            <w:r>
              <w:rPr>
                <w:rFonts w:ascii="Arial" w:hAnsi="Arial"/>
                <w:b/>
                <w:color w:val="FFFFFF"/>
                <w:sz w:val="17"/>
              </w:rPr>
              <w:t>Services</w:t>
            </w:r>
          </w:p>
        </w:tc>
        <w:tc>
          <w:tcPr>
            <w:tcW w:type="dxa" w:w="3360"/>
            <w:vAlign w:val="center"/>
            <w:shd w:fill="1F4E5F"/>
          </w:tcPr>
          <w:p>
            <w:pPr>
              <w:spacing w:after="40"/>
            </w:pPr>
            <w:r>
              <w:rPr>
                <w:rFonts w:ascii="Arial" w:hAnsi="Arial"/>
                <w:sz w:val="17"/>
              </w:rPr>
            </w:r>
            <w:r>
              <w:rPr>
                <w:rFonts w:ascii="Arial" w:hAnsi="Arial"/>
                <w:b/>
                <w:color w:val="FFFFFF"/>
                <w:sz w:val="17"/>
              </w:rPr>
              <w:t>Partner Candidates</w:t>
            </w:r>
          </w:p>
        </w:tc>
      </w:tr>
      <w:tr>
        <w:tc>
          <w:tcPr>
            <w:tcW w:type="dxa" w:w="3360"/>
            <w:vAlign w:val="center"/>
          </w:tcPr>
          <w:p>
            <w:pPr>
              <w:spacing w:after="40"/>
            </w:pPr>
            <w:r>
              <w:rPr>
                <w:rFonts w:ascii="Arial" w:hAnsi="Arial"/>
                <w:sz w:val="17"/>
              </w:rPr>
            </w:r>
            <w:r>
              <w:rPr>
                <w:rFonts w:ascii="Arial" w:hAnsi="Arial"/>
                <w:b w:val="0"/>
                <w:sz w:val="17"/>
              </w:rPr>
              <w:t>Business planning</w:t>
            </w:r>
          </w:p>
        </w:tc>
        <w:tc>
          <w:tcPr>
            <w:tcW w:type="dxa" w:w="3360"/>
            <w:vAlign w:val="center"/>
          </w:tcPr>
          <w:p>
            <w:pPr>
              <w:spacing w:after="40"/>
            </w:pPr>
            <w:r>
              <w:rPr>
                <w:rFonts w:ascii="Arial" w:hAnsi="Arial"/>
                <w:sz w:val="17"/>
              </w:rPr>
            </w:r>
            <w:r>
              <w:rPr>
                <w:rFonts w:ascii="Arial" w:hAnsi="Arial"/>
                <w:b w:val="0"/>
                <w:sz w:val="17"/>
              </w:rPr>
              <w:t>Concept, market, pricing, startup budget, growth path.</w:t>
            </w:r>
          </w:p>
        </w:tc>
        <w:tc>
          <w:tcPr>
            <w:tcW w:type="dxa" w:w="3360"/>
            <w:vAlign w:val="center"/>
          </w:tcPr>
          <w:p>
            <w:pPr>
              <w:spacing w:after="40"/>
            </w:pPr>
            <w:r>
              <w:rPr>
                <w:rFonts w:ascii="Arial" w:hAnsi="Arial"/>
                <w:sz w:val="17"/>
              </w:rPr>
            </w:r>
            <w:r>
              <w:rPr>
                <w:rFonts w:ascii="Arial" w:hAnsi="Arial"/>
                <w:b w:val="0"/>
                <w:sz w:val="17"/>
              </w:rPr>
              <w:t>SBDC, university business programs, mentors.</w:t>
            </w:r>
          </w:p>
        </w:tc>
      </w:tr>
      <w:tr>
        <w:tc>
          <w:tcPr>
            <w:tcW w:type="dxa" w:w="3360"/>
            <w:vAlign w:val="center"/>
          </w:tcPr>
          <w:p>
            <w:pPr>
              <w:spacing w:after="40"/>
            </w:pPr>
            <w:r>
              <w:rPr>
                <w:rFonts w:ascii="Arial" w:hAnsi="Arial"/>
                <w:sz w:val="17"/>
              </w:rPr>
            </w:r>
            <w:r>
              <w:rPr>
                <w:rFonts w:ascii="Arial" w:hAnsi="Arial"/>
                <w:b w:val="0"/>
                <w:sz w:val="17"/>
              </w:rPr>
              <w:t>Financial literacy</w:t>
            </w:r>
          </w:p>
        </w:tc>
        <w:tc>
          <w:tcPr>
            <w:tcW w:type="dxa" w:w="3360"/>
            <w:vAlign w:val="center"/>
          </w:tcPr>
          <w:p>
            <w:pPr>
              <w:spacing w:after="40"/>
            </w:pPr>
            <w:r>
              <w:rPr>
                <w:rFonts w:ascii="Arial" w:hAnsi="Arial"/>
                <w:sz w:val="17"/>
              </w:rPr>
            </w:r>
            <w:r>
              <w:rPr>
                <w:rFonts w:ascii="Arial" w:hAnsi="Arial"/>
                <w:b w:val="0"/>
                <w:sz w:val="17"/>
              </w:rPr>
              <w:t>COGS, labor, break-even, cash flow, bookkeeping, GRT awareness.</w:t>
            </w:r>
          </w:p>
        </w:tc>
        <w:tc>
          <w:tcPr>
            <w:tcW w:type="dxa" w:w="3360"/>
            <w:vAlign w:val="center"/>
          </w:tcPr>
          <w:p>
            <w:pPr>
              <w:spacing w:after="40"/>
            </w:pPr>
            <w:r>
              <w:rPr>
                <w:rFonts w:ascii="Arial" w:hAnsi="Arial"/>
                <w:sz w:val="17"/>
              </w:rPr>
            </w:r>
            <w:r>
              <w:rPr>
                <w:rFonts w:ascii="Arial" w:hAnsi="Arial"/>
                <w:b w:val="0"/>
                <w:sz w:val="17"/>
              </w:rPr>
              <w:t>CPA, SBDC, lenders, finance volunteers.</w:t>
            </w:r>
          </w:p>
        </w:tc>
      </w:tr>
      <w:tr>
        <w:tc>
          <w:tcPr>
            <w:tcW w:type="dxa" w:w="3360"/>
            <w:vAlign w:val="center"/>
          </w:tcPr>
          <w:p>
            <w:pPr>
              <w:spacing w:after="40"/>
            </w:pPr>
            <w:r>
              <w:rPr>
                <w:rFonts w:ascii="Arial" w:hAnsi="Arial"/>
                <w:sz w:val="17"/>
              </w:rPr>
            </w:r>
            <w:r>
              <w:rPr>
                <w:rFonts w:ascii="Arial" w:hAnsi="Arial"/>
                <w:b w:val="0"/>
                <w:sz w:val="17"/>
              </w:rPr>
              <w:t>Compliance</w:t>
            </w:r>
          </w:p>
        </w:tc>
        <w:tc>
          <w:tcPr>
            <w:tcW w:type="dxa" w:w="3360"/>
            <w:vAlign w:val="center"/>
          </w:tcPr>
          <w:p>
            <w:pPr>
              <w:spacing w:after="40"/>
            </w:pPr>
            <w:r>
              <w:rPr>
                <w:rFonts w:ascii="Arial" w:hAnsi="Arial"/>
                <w:sz w:val="17"/>
              </w:rPr>
            </w:r>
            <w:r>
              <w:rPr>
                <w:rFonts w:ascii="Arial" w:hAnsi="Arial"/>
                <w:b w:val="0"/>
                <w:sz w:val="17"/>
              </w:rPr>
              <w:t>Food safety, permits, labels, insurance, incident reporting.</w:t>
            </w:r>
          </w:p>
        </w:tc>
        <w:tc>
          <w:tcPr>
            <w:tcW w:type="dxa" w:w="3360"/>
            <w:vAlign w:val="center"/>
          </w:tcPr>
          <w:p>
            <w:pPr>
              <w:spacing w:after="40"/>
            </w:pPr>
            <w:r>
              <w:rPr>
                <w:rFonts w:ascii="Arial" w:hAnsi="Arial"/>
                <w:sz w:val="17"/>
              </w:rPr>
            </w:r>
            <w:r>
              <w:rPr>
                <w:rFonts w:ascii="Arial" w:hAnsi="Arial"/>
                <w:b w:val="0"/>
                <w:sz w:val="17"/>
              </w:rPr>
              <w:t>NMED resources, insurance broker, legal counsel.</w:t>
            </w:r>
          </w:p>
        </w:tc>
      </w:tr>
      <w:tr>
        <w:tc>
          <w:tcPr>
            <w:tcW w:type="dxa" w:w="3360"/>
            <w:vAlign w:val="center"/>
          </w:tcPr>
          <w:p>
            <w:pPr>
              <w:spacing w:after="40"/>
            </w:pPr>
            <w:r>
              <w:rPr>
                <w:rFonts w:ascii="Arial" w:hAnsi="Arial"/>
                <w:sz w:val="17"/>
              </w:rPr>
            </w:r>
            <w:r>
              <w:rPr>
                <w:rFonts w:ascii="Arial" w:hAnsi="Arial"/>
                <w:b w:val="0"/>
                <w:sz w:val="17"/>
              </w:rPr>
              <w:t>Marketing</w:t>
            </w:r>
          </w:p>
        </w:tc>
        <w:tc>
          <w:tcPr>
            <w:tcW w:type="dxa" w:w="3360"/>
            <w:vAlign w:val="center"/>
          </w:tcPr>
          <w:p>
            <w:pPr>
              <w:spacing w:after="40"/>
            </w:pPr>
            <w:r>
              <w:rPr>
                <w:rFonts w:ascii="Arial" w:hAnsi="Arial"/>
                <w:sz w:val="17"/>
              </w:rPr>
            </w:r>
            <w:r>
              <w:rPr>
                <w:rFonts w:ascii="Arial" w:hAnsi="Arial"/>
                <w:b w:val="0"/>
                <w:sz w:val="17"/>
              </w:rPr>
              <w:t>Brand, menu, photos, events, social media, email list.</w:t>
            </w:r>
          </w:p>
        </w:tc>
        <w:tc>
          <w:tcPr>
            <w:tcW w:type="dxa" w:w="3360"/>
            <w:vAlign w:val="center"/>
          </w:tcPr>
          <w:p>
            <w:pPr>
              <w:spacing w:after="40"/>
            </w:pPr>
            <w:r>
              <w:rPr>
                <w:rFonts w:ascii="Arial" w:hAnsi="Arial"/>
                <w:sz w:val="17"/>
              </w:rPr>
            </w:r>
            <w:r>
              <w:rPr>
                <w:rFonts w:ascii="Arial" w:hAnsi="Arial"/>
                <w:b w:val="0"/>
                <w:sz w:val="17"/>
              </w:rPr>
              <w:t>Tourism partners, downtown organizations, marketing consultants.</w:t>
            </w:r>
          </w:p>
        </w:tc>
      </w:tr>
      <w:tr>
        <w:tc>
          <w:tcPr>
            <w:tcW w:type="dxa" w:w="3360"/>
            <w:vAlign w:val="center"/>
          </w:tcPr>
          <w:p>
            <w:pPr>
              <w:spacing w:after="40"/>
            </w:pPr>
            <w:r>
              <w:rPr>
                <w:rFonts w:ascii="Arial" w:hAnsi="Arial"/>
                <w:sz w:val="17"/>
              </w:rPr>
            </w:r>
            <w:r>
              <w:rPr>
                <w:rFonts w:ascii="Arial" w:hAnsi="Arial"/>
                <w:b w:val="0"/>
                <w:sz w:val="17"/>
              </w:rPr>
              <w:t>Workforce</w:t>
            </w:r>
          </w:p>
        </w:tc>
        <w:tc>
          <w:tcPr>
            <w:tcW w:type="dxa" w:w="3360"/>
            <w:vAlign w:val="center"/>
          </w:tcPr>
          <w:p>
            <w:pPr>
              <w:spacing w:after="40"/>
            </w:pPr>
            <w:r>
              <w:rPr>
                <w:rFonts w:ascii="Arial" w:hAnsi="Arial"/>
                <w:sz w:val="17"/>
              </w:rPr>
            </w:r>
            <w:r>
              <w:rPr>
                <w:rFonts w:ascii="Arial" w:hAnsi="Arial"/>
                <w:b w:val="0"/>
                <w:sz w:val="17"/>
              </w:rPr>
              <w:t>Apprenticeships, hiring, training, Spanish-language support.</w:t>
            </w:r>
          </w:p>
        </w:tc>
        <w:tc>
          <w:tcPr>
            <w:tcW w:type="dxa" w:w="3360"/>
            <w:vAlign w:val="center"/>
          </w:tcPr>
          <w:p>
            <w:pPr>
              <w:spacing w:after="40"/>
            </w:pPr>
            <w:r>
              <w:rPr>
                <w:rFonts w:ascii="Arial" w:hAnsi="Arial"/>
                <w:sz w:val="17"/>
              </w:rPr>
            </w:r>
            <w:r>
              <w:rPr>
                <w:rFonts w:ascii="Arial" w:hAnsi="Arial"/>
                <w:b w:val="0"/>
                <w:sz w:val="17"/>
              </w:rPr>
              <w:t>DACC/NMSU, workforce agencies, community organizations.</w:t>
            </w:r>
          </w:p>
        </w:tc>
      </w:tr>
      <w:tr>
        <w:tc>
          <w:tcPr>
            <w:tcW w:type="dxa" w:w="3360"/>
            <w:vAlign w:val="center"/>
          </w:tcPr>
          <w:p>
            <w:pPr>
              <w:spacing w:after="40"/>
            </w:pPr>
            <w:r>
              <w:rPr>
                <w:rFonts w:ascii="Arial" w:hAnsi="Arial"/>
                <w:sz w:val="17"/>
              </w:rPr>
            </w:r>
            <w:r>
              <w:rPr>
                <w:rFonts w:ascii="Arial" w:hAnsi="Arial"/>
                <w:b w:val="0"/>
                <w:sz w:val="17"/>
              </w:rPr>
              <w:t>Capital access</w:t>
            </w:r>
          </w:p>
        </w:tc>
        <w:tc>
          <w:tcPr>
            <w:tcW w:type="dxa" w:w="3360"/>
            <w:vAlign w:val="center"/>
          </w:tcPr>
          <w:p>
            <w:pPr>
              <w:spacing w:after="40"/>
            </w:pPr>
            <w:r>
              <w:rPr>
                <w:rFonts w:ascii="Arial" w:hAnsi="Arial"/>
                <w:sz w:val="17"/>
              </w:rPr>
            </w:r>
            <w:r>
              <w:rPr>
                <w:rFonts w:ascii="Arial" w:hAnsi="Arial"/>
                <w:b w:val="0"/>
                <w:sz w:val="17"/>
              </w:rPr>
              <w:t>Grant readiness, lender prep, investor pitch, sponsor packages.</w:t>
            </w:r>
          </w:p>
        </w:tc>
        <w:tc>
          <w:tcPr>
            <w:tcW w:type="dxa" w:w="3360"/>
            <w:vAlign w:val="center"/>
          </w:tcPr>
          <w:p>
            <w:pPr>
              <w:spacing w:after="40"/>
            </w:pPr>
            <w:r>
              <w:rPr>
                <w:rFonts w:ascii="Arial" w:hAnsi="Arial"/>
                <w:sz w:val="17"/>
              </w:rPr>
            </w:r>
            <w:r>
              <w:rPr>
                <w:rFonts w:ascii="Arial" w:hAnsi="Arial"/>
                <w:b w:val="0"/>
                <w:sz w:val="17"/>
              </w:rPr>
              <w:t>Economic development groups, CDFIs, banks, grant writers.</w:t>
            </w:r>
          </w:p>
        </w:tc>
      </w:tr>
      <w:tr>
        <w:tc>
          <w:tcPr>
            <w:tcW w:type="dxa" w:w="3360"/>
            <w:vAlign w:val="center"/>
          </w:tcPr>
          <w:p>
            <w:pPr>
              <w:spacing w:after="40"/>
            </w:pPr>
            <w:r>
              <w:rPr>
                <w:rFonts w:ascii="Arial" w:hAnsi="Arial"/>
                <w:sz w:val="17"/>
              </w:rPr>
            </w:r>
            <w:r>
              <w:rPr>
                <w:rFonts w:ascii="Arial" w:hAnsi="Arial"/>
                <w:b w:val="0"/>
                <w:sz w:val="17"/>
              </w:rPr>
              <w:t>Local sourcing</w:t>
            </w:r>
          </w:p>
        </w:tc>
        <w:tc>
          <w:tcPr>
            <w:tcW w:type="dxa" w:w="3360"/>
            <w:vAlign w:val="center"/>
          </w:tcPr>
          <w:p>
            <w:pPr>
              <w:spacing w:after="40"/>
            </w:pPr>
            <w:r>
              <w:rPr>
                <w:rFonts w:ascii="Arial" w:hAnsi="Arial"/>
                <w:sz w:val="17"/>
              </w:rPr>
            </w:r>
            <w:r>
              <w:rPr>
                <w:rFonts w:ascii="Arial" w:hAnsi="Arial"/>
                <w:b w:val="0"/>
                <w:sz w:val="17"/>
              </w:rPr>
              <w:t>Farmers, chile producers, cideries, packaged-food makers.</w:t>
            </w:r>
          </w:p>
        </w:tc>
        <w:tc>
          <w:tcPr>
            <w:tcW w:type="dxa" w:w="3360"/>
            <w:vAlign w:val="center"/>
          </w:tcPr>
          <w:p>
            <w:pPr>
              <w:spacing w:after="40"/>
            </w:pPr>
            <w:r>
              <w:rPr>
                <w:rFonts w:ascii="Arial" w:hAnsi="Arial"/>
                <w:sz w:val="17"/>
              </w:rPr>
            </w:r>
            <w:r>
              <w:rPr>
                <w:rFonts w:ascii="Arial" w:hAnsi="Arial"/>
                <w:b w:val="0"/>
                <w:sz w:val="17"/>
              </w:rPr>
              <w:t>Producer associations, farmers markets, agriculture groups.</w:t>
            </w:r>
          </w:p>
        </w:tc>
      </w:tr>
    </w:tbl>
    <w:p/>
    <w:p>
      <w:pPr>
        <w:pStyle w:val="Heading1"/>
      </w:pPr>
      <w:r>
        <w:t>8. Risk Management and Compliance for Incubators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Risk</w:t>
            </w:r>
          </w:p>
        </w:tc>
        <w:tc>
          <w:tcPr>
            <w:tcW w:type="dxa" w:w="3360"/>
            <w:vAlign w:val="center"/>
            <w:shd w:fill="1F4E5F"/>
          </w:tcPr>
          <w:p>
            <w:pPr>
              <w:spacing w:after="40"/>
            </w:pPr>
            <w:r>
              <w:rPr>
                <w:rFonts w:ascii="Arial" w:hAnsi="Arial"/>
                <w:sz w:val="17"/>
              </w:rPr>
            </w:r>
            <w:r>
              <w:rPr>
                <w:rFonts w:ascii="Arial" w:hAnsi="Arial"/>
                <w:b/>
                <w:color w:val="FFFFFF"/>
                <w:sz w:val="17"/>
              </w:rPr>
              <w:t>Early Warning Sign</w:t>
            </w:r>
          </w:p>
        </w:tc>
        <w:tc>
          <w:tcPr>
            <w:tcW w:type="dxa" w:w="3360"/>
            <w:vAlign w:val="center"/>
            <w:shd w:fill="1F4E5F"/>
          </w:tcPr>
          <w:p>
            <w:pPr>
              <w:spacing w:after="40"/>
            </w:pPr>
            <w:r>
              <w:rPr>
                <w:rFonts w:ascii="Arial" w:hAnsi="Arial"/>
                <w:sz w:val="17"/>
              </w:rPr>
            </w:r>
            <w:r>
              <w:rPr>
                <w:rFonts w:ascii="Arial" w:hAnsi="Arial"/>
                <w:b/>
                <w:color w:val="FFFFFF"/>
                <w:sz w:val="17"/>
              </w:rPr>
              <w:t>Mitigation</w:t>
            </w:r>
          </w:p>
        </w:tc>
      </w:tr>
      <w:tr>
        <w:tc>
          <w:tcPr>
            <w:tcW w:type="dxa" w:w="3360"/>
            <w:vAlign w:val="center"/>
          </w:tcPr>
          <w:p>
            <w:pPr>
              <w:spacing w:after="40"/>
            </w:pPr>
            <w:r>
              <w:rPr>
                <w:rFonts w:ascii="Arial" w:hAnsi="Arial"/>
                <w:sz w:val="17"/>
              </w:rPr>
            </w:r>
            <w:r>
              <w:rPr>
                <w:rFonts w:ascii="Arial" w:hAnsi="Arial"/>
                <w:b w:val="0"/>
                <w:sz w:val="17"/>
              </w:rPr>
              <w:t>Vendor failure</w:t>
            </w:r>
          </w:p>
        </w:tc>
        <w:tc>
          <w:tcPr>
            <w:tcW w:type="dxa" w:w="3360"/>
            <w:vAlign w:val="center"/>
          </w:tcPr>
          <w:p>
            <w:pPr>
              <w:spacing w:after="40"/>
            </w:pPr>
            <w:r>
              <w:rPr>
                <w:rFonts w:ascii="Arial" w:hAnsi="Arial"/>
                <w:sz w:val="17"/>
              </w:rPr>
            </w:r>
            <w:r>
              <w:rPr>
                <w:rFonts w:ascii="Arial" w:hAnsi="Arial"/>
                <w:b w:val="0"/>
                <w:sz w:val="17"/>
              </w:rPr>
              <w:t>Low sales, missed reports, poor staffing, quality complaints.</w:t>
            </w:r>
          </w:p>
        </w:tc>
        <w:tc>
          <w:tcPr>
            <w:tcW w:type="dxa" w:w="3360"/>
            <w:vAlign w:val="center"/>
          </w:tcPr>
          <w:p>
            <w:pPr>
              <w:spacing w:after="40"/>
            </w:pPr>
            <w:r>
              <w:rPr>
                <w:rFonts w:ascii="Arial" w:hAnsi="Arial"/>
                <w:sz w:val="17"/>
              </w:rPr>
            </w:r>
            <w:r>
              <w:rPr>
                <w:rFonts w:ascii="Arial" w:hAnsi="Arial"/>
                <w:b w:val="0"/>
                <w:sz w:val="17"/>
              </w:rPr>
              <w:t>Coaching, improvement plan, temporary menu reduction, backfill pipeline.</w:t>
            </w:r>
          </w:p>
        </w:tc>
      </w:tr>
      <w:tr>
        <w:tc>
          <w:tcPr>
            <w:tcW w:type="dxa" w:w="3360"/>
            <w:vAlign w:val="center"/>
          </w:tcPr>
          <w:p>
            <w:pPr>
              <w:spacing w:after="40"/>
            </w:pPr>
            <w:r>
              <w:rPr>
                <w:rFonts w:ascii="Arial" w:hAnsi="Arial"/>
                <w:sz w:val="17"/>
              </w:rPr>
            </w:r>
            <w:r>
              <w:rPr>
                <w:rFonts w:ascii="Arial" w:hAnsi="Arial"/>
                <w:b w:val="0"/>
                <w:sz w:val="17"/>
              </w:rPr>
              <w:t>Health-code violation</w:t>
            </w:r>
          </w:p>
        </w:tc>
        <w:tc>
          <w:tcPr>
            <w:tcW w:type="dxa" w:w="3360"/>
            <w:vAlign w:val="center"/>
          </w:tcPr>
          <w:p>
            <w:pPr>
              <w:spacing w:after="40"/>
            </w:pPr>
            <w:r>
              <w:rPr>
                <w:rFonts w:ascii="Arial" w:hAnsi="Arial"/>
                <w:sz w:val="17"/>
              </w:rPr>
            </w:r>
            <w:r>
              <w:rPr>
                <w:rFonts w:ascii="Arial" w:hAnsi="Arial"/>
                <w:b w:val="0"/>
                <w:sz w:val="17"/>
              </w:rPr>
              <w:t>Dirty station, missing logs, improper holding, unlabeled product.</w:t>
            </w:r>
          </w:p>
        </w:tc>
        <w:tc>
          <w:tcPr>
            <w:tcW w:type="dxa" w:w="3360"/>
            <w:vAlign w:val="center"/>
          </w:tcPr>
          <w:p>
            <w:pPr>
              <w:spacing w:after="40"/>
            </w:pPr>
            <w:r>
              <w:rPr>
                <w:rFonts w:ascii="Arial" w:hAnsi="Arial"/>
                <w:sz w:val="17"/>
              </w:rPr>
            </w:r>
            <w:r>
              <w:rPr>
                <w:rFonts w:ascii="Arial" w:hAnsi="Arial"/>
                <w:b w:val="0"/>
                <w:sz w:val="17"/>
              </w:rPr>
              <w:t>Immediate corrective action, retraining, documentation, escalation.</w:t>
            </w:r>
          </w:p>
        </w:tc>
      </w:tr>
      <w:tr>
        <w:tc>
          <w:tcPr>
            <w:tcW w:type="dxa" w:w="3360"/>
            <w:vAlign w:val="center"/>
          </w:tcPr>
          <w:p>
            <w:pPr>
              <w:spacing w:after="40"/>
            </w:pPr>
            <w:r>
              <w:rPr>
                <w:rFonts w:ascii="Arial" w:hAnsi="Arial"/>
                <w:sz w:val="17"/>
              </w:rPr>
            </w:r>
            <w:r>
              <w:rPr>
                <w:rFonts w:ascii="Arial" w:hAnsi="Arial"/>
                <w:b w:val="0"/>
                <w:sz w:val="17"/>
              </w:rPr>
              <w:t>Cash-flow shortfall</w:t>
            </w:r>
          </w:p>
        </w:tc>
        <w:tc>
          <w:tcPr>
            <w:tcW w:type="dxa" w:w="3360"/>
            <w:vAlign w:val="center"/>
          </w:tcPr>
          <w:p>
            <w:pPr>
              <w:spacing w:after="40"/>
            </w:pPr>
            <w:r>
              <w:rPr>
                <w:rFonts w:ascii="Arial" w:hAnsi="Arial"/>
                <w:sz w:val="17"/>
              </w:rPr>
            </w:r>
            <w:r>
              <w:rPr>
                <w:rFonts w:ascii="Arial" w:hAnsi="Arial"/>
                <w:b w:val="0"/>
                <w:sz w:val="17"/>
              </w:rPr>
              <w:t>Revenue below forecast, utility spike, vacancy, repair cost.</w:t>
            </w:r>
          </w:p>
        </w:tc>
        <w:tc>
          <w:tcPr>
            <w:tcW w:type="dxa" w:w="3360"/>
            <w:vAlign w:val="center"/>
          </w:tcPr>
          <w:p>
            <w:pPr>
              <w:spacing w:after="40"/>
            </w:pPr>
            <w:r>
              <w:rPr>
                <w:rFonts w:ascii="Arial" w:hAnsi="Arial"/>
                <w:sz w:val="17"/>
              </w:rPr>
            </w:r>
            <w:r>
              <w:rPr>
                <w:rFonts w:ascii="Arial" w:hAnsi="Arial"/>
                <w:b w:val="0"/>
                <w:sz w:val="17"/>
              </w:rPr>
              <w:t>Reserves, phased spending, sponsor support, event push, cost controls.</w:t>
            </w:r>
          </w:p>
        </w:tc>
      </w:tr>
      <w:tr>
        <w:tc>
          <w:tcPr>
            <w:tcW w:type="dxa" w:w="3360"/>
            <w:vAlign w:val="center"/>
          </w:tcPr>
          <w:p>
            <w:pPr>
              <w:spacing w:after="40"/>
            </w:pPr>
            <w:r>
              <w:rPr>
                <w:rFonts w:ascii="Arial" w:hAnsi="Arial"/>
                <w:sz w:val="17"/>
              </w:rPr>
            </w:r>
            <w:r>
              <w:rPr>
                <w:rFonts w:ascii="Arial" w:hAnsi="Arial"/>
                <w:b w:val="0"/>
                <w:sz w:val="17"/>
              </w:rPr>
              <w:t>Vendor dispute</w:t>
            </w:r>
          </w:p>
        </w:tc>
        <w:tc>
          <w:tcPr>
            <w:tcW w:type="dxa" w:w="3360"/>
            <w:vAlign w:val="center"/>
          </w:tcPr>
          <w:p>
            <w:pPr>
              <w:spacing w:after="40"/>
            </w:pPr>
            <w:r>
              <w:rPr>
                <w:rFonts w:ascii="Arial" w:hAnsi="Arial"/>
                <w:sz w:val="17"/>
              </w:rPr>
            </w:r>
            <w:r>
              <w:rPr>
                <w:rFonts w:ascii="Arial" w:hAnsi="Arial"/>
                <w:b w:val="0"/>
                <w:sz w:val="17"/>
              </w:rPr>
              <w:t>Shared equipment conflict, territory conflict, staff conduct issue.</w:t>
            </w:r>
          </w:p>
        </w:tc>
        <w:tc>
          <w:tcPr>
            <w:tcW w:type="dxa" w:w="3360"/>
            <w:vAlign w:val="center"/>
          </w:tcPr>
          <w:p>
            <w:pPr>
              <w:spacing w:after="40"/>
            </w:pPr>
            <w:r>
              <w:rPr>
                <w:rFonts w:ascii="Arial" w:hAnsi="Arial"/>
                <w:sz w:val="17"/>
              </w:rPr>
            </w:r>
            <w:r>
              <w:rPr>
                <w:rFonts w:ascii="Arial" w:hAnsi="Arial"/>
                <w:b w:val="0"/>
                <w:sz w:val="17"/>
              </w:rPr>
              <w:t>House rules, mediation, written decision, progressive enforcement.</w:t>
            </w:r>
          </w:p>
        </w:tc>
      </w:tr>
      <w:tr>
        <w:tc>
          <w:tcPr>
            <w:tcW w:type="dxa" w:w="3360"/>
            <w:vAlign w:val="center"/>
          </w:tcPr>
          <w:p>
            <w:pPr>
              <w:spacing w:after="40"/>
            </w:pPr>
            <w:r>
              <w:rPr>
                <w:rFonts w:ascii="Arial" w:hAnsi="Arial"/>
                <w:sz w:val="17"/>
              </w:rPr>
            </w:r>
            <w:r>
              <w:rPr>
                <w:rFonts w:ascii="Arial" w:hAnsi="Arial"/>
                <w:b w:val="0"/>
                <w:sz w:val="17"/>
              </w:rPr>
              <w:t>Reputation issue</w:t>
            </w:r>
          </w:p>
        </w:tc>
        <w:tc>
          <w:tcPr>
            <w:tcW w:type="dxa" w:w="3360"/>
            <w:vAlign w:val="center"/>
          </w:tcPr>
          <w:p>
            <w:pPr>
              <w:spacing w:after="40"/>
            </w:pPr>
            <w:r>
              <w:rPr>
                <w:rFonts w:ascii="Arial" w:hAnsi="Arial"/>
                <w:sz w:val="17"/>
              </w:rPr>
            </w:r>
            <w:r>
              <w:rPr>
                <w:rFonts w:ascii="Arial" w:hAnsi="Arial"/>
                <w:b w:val="0"/>
                <w:sz w:val="17"/>
              </w:rPr>
              <w:t>Social media complaint, food complaint, event failure.</w:t>
            </w:r>
          </w:p>
        </w:tc>
        <w:tc>
          <w:tcPr>
            <w:tcW w:type="dxa" w:w="3360"/>
            <w:vAlign w:val="center"/>
          </w:tcPr>
          <w:p>
            <w:pPr>
              <w:spacing w:after="40"/>
            </w:pPr>
            <w:r>
              <w:rPr>
                <w:rFonts w:ascii="Arial" w:hAnsi="Arial"/>
                <w:sz w:val="17"/>
              </w:rPr>
            </w:r>
            <w:r>
              <w:rPr>
                <w:rFonts w:ascii="Arial" w:hAnsi="Arial"/>
                <w:b w:val="0"/>
                <w:sz w:val="17"/>
              </w:rPr>
              <w:t>Response protocol, root cause review, vendor/hall corrective action.</w:t>
            </w:r>
          </w:p>
        </w:tc>
      </w:tr>
      <w:tr>
        <w:tc>
          <w:tcPr>
            <w:tcW w:type="dxa" w:w="3360"/>
            <w:vAlign w:val="center"/>
          </w:tcPr>
          <w:p>
            <w:pPr>
              <w:spacing w:after="40"/>
            </w:pPr>
            <w:r>
              <w:rPr>
                <w:rFonts w:ascii="Arial" w:hAnsi="Arial"/>
                <w:sz w:val="17"/>
              </w:rPr>
            </w:r>
            <w:r>
              <w:rPr>
                <w:rFonts w:ascii="Arial" w:hAnsi="Arial"/>
                <w:b w:val="0"/>
                <w:sz w:val="17"/>
              </w:rPr>
              <w:t>Vacancy</w:t>
            </w:r>
          </w:p>
        </w:tc>
        <w:tc>
          <w:tcPr>
            <w:tcW w:type="dxa" w:w="3360"/>
            <w:vAlign w:val="center"/>
          </w:tcPr>
          <w:p>
            <w:pPr>
              <w:spacing w:after="40"/>
            </w:pPr>
            <w:r>
              <w:rPr>
                <w:rFonts w:ascii="Arial" w:hAnsi="Arial"/>
                <w:sz w:val="17"/>
              </w:rPr>
            </w:r>
            <w:r>
              <w:rPr>
                <w:rFonts w:ascii="Arial" w:hAnsi="Arial"/>
                <w:b w:val="0"/>
                <w:sz w:val="17"/>
              </w:rPr>
              <w:t>Vendor gives notice or is terminated.</w:t>
            </w:r>
          </w:p>
        </w:tc>
        <w:tc>
          <w:tcPr>
            <w:tcW w:type="dxa" w:w="3360"/>
            <w:vAlign w:val="center"/>
          </w:tcPr>
          <w:p>
            <w:pPr>
              <w:spacing w:after="40"/>
            </w:pPr>
            <w:r>
              <w:rPr>
                <w:rFonts w:ascii="Arial" w:hAnsi="Arial"/>
                <w:sz w:val="17"/>
              </w:rPr>
            </w:r>
            <w:r>
              <w:rPr>
                <w:rFonts w:ascii="Arial" w:hAnsi="Arial"/>
                <w:b w:val="0"/>
                <w:sz w:val="17"/>
              </w:rPr>
              <w:t>Waitlist, pop-up replacement, ghost-kitchen conversion, staggered terms.</w:t>
            </w:r>
          </w:p>
        </w:tc>
      </w:tr>
      <w:tr>
        <w:tc>
          <w:tcPr>
            <w:tcW w:type="dxa" w:w="3360"/>
            <w:vAlign w:val="center"/>
          </w:tcPr>
          <w:p>
            <w:pPr>
              <w:spacing w:after="40"/>
            </w:pPr>
            <w:r>
              <w:rPr>
                <w:rFonts w:ascii="Arial" w:hAnsi="Arial"/>
                <w:sz w:val="17"/>
              </w:rPr>
            </w:r>
            <w:r>
              <w:rPr>
                <w:rFonts w:ascii="Arial" w:hAnsi="Arial"/>
                <w:b w:val="0"/>
                <w:sz w:val="17"/>
              </w:rPr>
              <w:t>Alcohol incident</w:t>
            </w:r>
          </w:p>
        </w:tc>
        <w:tc>
          <w:tcPr>
            <w:tcW w:type="dxa" w:w="3360"/>
            <w:vAlign w:val="center"/>
          </w:tcPr>
          <w:p>
            <w:pPr>
              <w:spacing w:after="40"/>
            </w:pPr>
            <w:r>
              <w:rPr>
                <w:rFonts w:ascii="Arial" w:hAnsi="Arial"/>
                <w:sz w:val="17"/>
              </w:rPr>
            </w:r>
            <w:r>
              <w:rPr>
                <w:rFonts w:ascii="Arial" w:hAnsi="Arial"/>
                <w:b w:val="0"/>
                <w:sz w:val="17"/>
              </w:rPr>
              <w:t>Service to underage/intoxicated guest, disorderly conduct.</w:t>
            </w:r>
          </w:p>
        </w:tc>
        <w:tc>
          <w:tcPr>
            <w:tcW w:type="dxa" w:w="3360"/>
            <w:vAlign w:val="center"/>
          </w:tcPr>
          <w:p>
            <w:pPr>
              <w:spacing w:after="40"/>
            </w:pPr>
            <w:r>
              <w:rPr>
                <w:rFonts w:ascii="Arial" w:hAnsi="Arial"/>
                <w:sz w:val="17"/>
              </w:rPr>
            </w:r>
            <w:r>
              <w:rPr>
                <w:rFonts w:ascii="Arial" w:hAnsi="Arial"/>
                <w:b w:val="0"/>
                <w:sz w:val="17"/>
              </w:rPr>
              <w:t>Server training, ID policy, incident log, bar manager escalation.</w:t>
            </w:r>
          </w:p>
        </w:tc>
      </w:tr>
      <w:tr>
        <w:tc>
          <w:tcPr>
            <w:tcW w:type="dxa" w:w="3360"/>
            <w:vAlign w:val="center"/>
          </w:tcPr>
          <w:p>
            <w:pPr>
              <w:spacing w:after="40"/>
            </w:pPr>
            <w:r>
              <w:rPr>
                <w:rFonts w:ascii="Arial" w:hAnsi="Arial"/>
                <w:sz w:val="17"/>
              </w:rPr>
            </w:r>
            <w:r>
              <w:rPr>
                <w:rFonts w:ascii="Arial" w:hAnsi="Arial"/>
                <w:b w:val="0"/>
                <w:sz w:val="17"/>
              </w:rPr>
              <w:t>Packaged food issue</w:t>
            </w:r>
          </w:p>
        </w:tc>
        <w:tc>
          <w:tcPr>
            <w:tcW w:type="dxa" w:w="3360"/>
            <w:vAlign w:val="center"/>
          </w:tcPr>
          <w:p>
            <w:pPr>
              <w:spacing w:after="40"/>
            </w:pPr>
            <w:r>
              <w:rPr>
                <w:rFonts w:ascii="Arial" w:hAnsi="Arial"/>
                <w:sz w:val="17"/>
              </w:rPr>
            </w:r>
            <w:r>
              <w:rPr>
                <w:rFonts w:ascii="Arial" w:hAnsi="Arial"/>
                <w:b w:val="0"/>
                <w:sz w:val="17"/>
              </w:rPr>
              <w:t>Label error, allergen omission, spoilage, recall concern.</w:t>
            </w:r>
          </w:p>
        </w:tc>
        <w:tc>
          <w:tcPr>
            <w:tcW w:type="dxa" w:w="3360"/>
            <w:vAlign w:val="center"/>
          </w:tcPr>
          <w:p>
            <w:pPr>
              <w:spacing w:after="40"/>
            </w:pPr>
            <w:r>
              <w:rPr>
                <w:rFonts w:ascii="Arial" w:hAnsi="Arial"/>
                <w:sz w:val="17"/>
              </w:rPr>
            </w:r>
            <w:r>
              <w:rPr>
                <w:rFonts w:ascii="Arial" w:hAnsi="Arial"/>
                <w:b w:val="0"/>
                <w:sz w:val="17"/>
              </w:rPr>
              <w:t>Stop sale, isolate product, notify vendor/authority if needed, document action.</w:t>
            </w:r>
          </w:p>
        </w:tc>
      </w:tr>
    </w:tbl>
    <w:p/>
    <w:p>
      <w:pPr>
        <w:pStyle w:val="Heading2"/>
      </w:pPr>
      <w:r>
        <w:t>8.1 Vendor Improvement Plan Process</w:t>
      </w:r>
    </w:p>
    <w:p>
      <w:pPr>
        <w:pStyle w:val="ListNumber"/>
      </w:pPr>
      <w:r>
        <w:t>Document the issue with date, evidence, standard missed, and impact.</w:t>
      </w:r>
    </w:p>
    <w:p>
      <w:pPr>
        <w:pStyle w:val="ListNumber"/>
      </w:pPr>
      <w:r>
        <w:t>Meet with vendor to identify root cause and support needed.</w:t>
      </w:r>
    </w:p>
    <w:p>
      <w:pPr>
        <w:pStyle w:val="ListNumber"/>
      </w:pPr>
      <w:r>
        <w:t>Set corrective actions, timeline, required reporting, and consequences.</w:t>
      </w:r>
    </w:p>
    <w:p>
      <w:pPr>
        <w:pStyle w:val="ListNumber"/>
      </w:pPr>
      <w:r>
        <w:t>Schedule follow-up review and interim check-ins.</w:t>
      </w:r>
    </w:p>
    <w:p>
      <w:pPr>
        <w:pStyle w:val="ListNumber"/>
      </w:pPr>
      <w:r>
        <w:t>Close plan if performance recovers; escalate to reduced hours, format change, non-renewal, or termination if not corrected.</w:t>
      </w:r>
    </w:p>
    <w:p>
      <w:pPr>
        <w:pStyle w:val="Heading1"/>
      </w:pPr>
      <w:r>
        <w:t>9.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5F"/>
          </w:tcPr>
          <w:p>
            <w:pPr>
              <w:spacing w:after="40"/>
            </w:pPr>
            <w:r>
              <w:rPr>
                <w:rFonts w:ascii="Arial" w:hAnsi="Arial"/>
                <w:sz w:val="17"/>
              </w:rPr>
            </w:r>
            <w:r>
              <w:rPr>
                <w:rFonts w:ascii="Arial" w:hAnsi="Arial"/>
                <w:b/>
                <w:color w:val="FFFFFF"/>
                <w:sz w:val="17"/>
              </w:rPr>
              <w:t>Phase</w:t>
            </w:r>
          </w:p>
        </w:tc>
        <w:tc>
          <w:tcPr>
            <w:tcW w:type="dxa" w:w="2520"/>
            <w:vAlign w:val="center"/>
            <w:shd w:fill="1F4E5F"/>
          </w:tcPr>
          <w:p>
            <w:pPr>
              <w:spacing w:after="40"/>
            </w:pPr>
            <w:r>
              <w:rPr>
                <w:rFonts w:ascii="Arial" w:hAnsi="Arial"/>
                <w:sz w:val="17"/>
              </w:rPr>
            </w:r>
            <w:r>
              <w:rPr>
                <w:rFonts w:ascii="Arial" w:hAnsi="Arial"/>
                <w:b/>
                <w:color w:val="FFFFFF"/>
                <w:sz w:val="17"/>
              </w:rPr>
              <w:t>Major Tasks</w:t>
            </w:r>
          </w:p>
        </w:tc>
        <w:tc>
          <w:tcPr>
            <w:tcW w:type="dxa" w:w="2520"/>
            <w:vAlign w:val="center"/>
            <w:shd w:fill="1F4E5F"/>
          </w:tcPr>
          <w:p>
            <w:pPr>
              <w:spacing w:after="40"/>
            </w:pPr>
            <w:r>
              <w:rPr>
                <w:rFonts w:ascii="Arial" w:hAnsi="Arial"/>
                <w:sz w:val="17"/>
              </w:rPr>
            </w:r>
            <w:r>
              <w:rPr>
                <w:rFonts w:ascii="Arial" w:hAnsi="Arial"/>
                <w:b/>
                <w:color w:val="FFFFFF"/>
                <w:sz w:val="17"/>
              </w:rPr>
              <w:t>Dependencies</w:t>
            </w:r>
          </w:p>
        </w:tc>
        <w:tc>
          <w:tcPr>
            <w:tcW w:type="dxa" w:w="2520"/>
            <w:vAlign w:val="center"/>
            <w:shd w:fill="1F4E5F"/>
          </w:tcPr>
          <w:p>
            <w:pPr>
              <w:spacing w:after="40"/>
            </w:pPr>
            <w:r>
              <w:rPr>
                <w:rFonts w:ascii="Arial" w:hAnsi="Arial"/>
                <w:sz w:val="17"/>
              </w:rPr>
            </w:r>
            <w:r>
              <w:rPr>
                <w:rFonts w:ascii="Arial" w:hAnsi="Arial"/>
                <w:b/>
                <w:color w:val="FFFFFF"/>
                <w:sz w:val="17"/>
              </w:rPr>
              <w:t>Exit Criteria</w:t>
            </w:r>
          </w:p>
        </w:tc>
      </w:tr>
      <w:tr>
        <w:tc>
          <w:tcPr>
            <w:tcW w:type="dxa" w:w="2520"/>
            <w:vAlign w:val="center"/>
          </w:tcPr>
          <w:p>
            <w:pPr>
              <w:spacing w:after="40"/>
            </w:pPr>
            <w:r>
              <w:rPr>
                <w:rFonts w:ascii="Arial" w:hAnsi="Arial"/>
                <w:sz w:val="17"/>
              </w:rPr>
            </w:r>
            <w:r>
              <w:rPr>
                <w:rFonts w:ascii="Arial" w:hAnsi="Arial"/>
                <w:b w:val="0"/>
                <w:sz w:val="17"/>
              </w:rPr>
              <w:t>Phase 0 - Feasibility</w:t>
            </w:r>
          </w:p>
        </w:tc>
        <w:tc>
          <w:tcPr>
            <w:tcW w:type="dxa" w:w="2520"/>
            <w:vAlign w:val="center"/>
          </w:tcPr>
          <w:p>
            <w:pPr>
              <w:spacing w:after="40"/>
            </w:pPr>
            <w:r>
              <w:rPr>
                <w:rFonts w:ascii="Arial" w:hAnsi="Arial"/>
                <w:sz w:val="17"/>
              </w:rPr>
            </w:r>
            <w:r>
              <w:rPr>
                <w:rFonts w:ascii="Arial" w:hAnsi="Arial"/>
                <w:b w:val="0"/>
                <w:sz w:val="17"/>
              </w:rPr>
              <w:t>Market validation, concept mix, site criteria, preliminary pro forma, partner map.</w:t>
            </w:r>
          </w:p>
        </w:tc>
        <w:tc>
          <w:tcPr>
            <w:tcW w:type="dxa" w:w="2520"/>
            <w:vAlign w:val="center"/>
          </w:tcPr>
          <w:p>
            <w:pPr>
              <w:spacing w:after="40"/>
            </w:pPr>
            <w:r>
              <w:rPr>
                <w:rFonts w:ascii="Arial" w:hAnsi="Arial"/>
                <w:sz w:val="17"/>
              </w:rPr>
            </w:r>
            <w:r>
              <w:rPr>
                <w:rFonts w:ascii="Arial" w:hAnsi="Arial"/>
                <w:b w:val="0"/>
                <w:sz w:val="17"/>
              </w:rPr>
              <w:t>Founder research, local demand, initial vendor interest.</w:t>
            </w:r>
          </w:p>
        </w:tc>
        <w:tc>
          <w:tcPr>
            <w:tcW w:type="dxa" w:w="2520"/>
            <w:vAlign w:val="center"/>
          </w:tcPr>
          <w:p>
            <w:pPr>
              <w:spacing w:after="40"/>
            </w:pPr>
            <w:r>
              <w:rPr>
                <w:rFonts w:ascii="Arial" w:hAnsi="Arial"/>
                <w:sz w:val="17"/>
              </w:rPr>
            </w:r>
            <w:r>
              <w:rPr>
                <w:rFonts w:ascii="Arial" w:hAnsi="Arial"/>
                <w:b w:val="0"/>
                <w:sz w:val="17"/>
              </w:rPr>
              <w:t>Viable concept, funding story, target operating model.</w:t>
            </w:r>
          </w:p>
        </w:tc>
      </w:tr>
      <w:tr>
        <w:tc>
          <w:tcPr>
            <w:tcW w:type="dxa" w:w="2520"/>
            <w:vAlign w:val="center"/>
          </w:tcPr>
          <w:p>
            <w:pPr>
              <w:spacing w:after="40"/>
            </w:pPr>
            <w:r>
              <w:rPr>
                <w:rFonts w:ascii="Arial" w:hAnsi="Arial"/>
                <w:sz w:val="17"/>
              </w:rPr>
            </w:r>
            <w:r>
              <w:rPr>
                <w:rFonts w:ascii="Arial" w:hAnsi="Arial"/>
                <w:b w:val="0"/>
                <w:sz w:val="17"/>
              </w:rPr>
              <w:t>Phase 1 - Funding/design/regulatory</w:t>
            </w:r>
          </w:p>
        </w:tc>
        <w:tc>
          <w:tcPr>
            <w:tcW w:type="dxa" w:w="2520"/>
            <w:vAlign w:val="center"/>
          </w:tcPr>
          <w:p>
            <w:pPr>
              <w:spacing w:after="40"/>
            </w:pPr>
            <w:r>
              <w:rPr>
                <w:rFonts w:ascii="Arial" w:hAnsi="Arial"/>
                <w:sz w:val="17"/>
              </w:rPr>
            </w:r>
            <w:r>
              <w:rPr>
                <w:rFonts w:ascii="Arial" w:hAnsi="Arial"/>
                <w:b w:val="0"/>
                <w:sz w:val="17"/>
              </w:rPr>
              <w:t>Capital stack, sponsor packages, architect, plan-review path, legal docs, zoning/business registration check.</w:t>
            </w:r>
          </w:p>
        </w:tc>
        <w:tc>
          <w:tcPr>
            <w:tcW w:type="dxa" w:w="2520"/>
            <w:vAlign w:val="center"/>
          </w:tcPr>
          <w:p>
            <w:pPr>
              <w:spacing w:after="40"/>
            </w:pPr>
            <w:r>
              <w:rPr>
                <w:rFonts w:ascii="Arial" w:hAnsi="Arial"/>
                <w:sz w:val="17"/>
              </w:rPr>
            </w:r>
            <w:r>
              <w:rPr>
                <w:rFonts w:ascii="Arial" w:hAnsi="Arial"/>
                <w:b w:val="0"/>
                <w:sz w:val="17"/>
              </w:rPr>
              <w:t>Site candidate, budget, compliance advisers.</w:t>
            </w:r>
          </w:p>
        </w:tc>
        <w:tc>
          <w:tcPr>
            <w:tcW w:type="dxa" w:w="2520"/>
            <w:vAlign w:val="center"/>
          </w:tcPr>
          <w:p>
            <w:pPr>
              <w:spacing w:after="40"/>
            </w:pPr>
            <w:r>
              <w:rPr>
                <w:rFonts w:ascii="Arial" w:hAnsi="Arial"/>
                <w:sz w:val="17"/>
              </w:rPr>
            </w:r>
            <w:r>
              <w:rPr>
                <w:rFonts w:ascii="Arial" w:hAnsi="Arial"/>
                <w:b w:val="0"/>
                <w:sz w:val="17"/>
              </w:rPr>
              <w:t>Permit roadmap, funding path, legal framework.</w:t>
            </w:r>
          </w:p>
        </w:tc>
      </w:tr>
      <w:tr>
        <w:tc>
          <w:tcPr>
            <w:tcW w:type="dxa" w:w="2520"/>
            <w:vAlign w:val="center"/>
          </w:tcPr>
          <w:p>
            <w:pPr>
              <w:spacing w:after="40"/>
            </w:pPr>
            <w:r>
              <w:rPr>
                <w:rFonts w:ascii="Arial" w:hAnsi="Arial"/>
                <w:sz w:val="17"/>
              </w:rPr>
            </w:r>
            <w:r>
              <w:rPr>
                <w:rFonts w:ascii="Arial" w:hAnsi="Arial"/>
                <w:b w:val="0"/>
                <w:sz w:val="17"/>
              </w:rPr>
              <w:t>Phase 2 - Buildout/vendor selection</w:t>
            </w:r>
          </w:p>
        </w:tc>
        <w:tc>
          <w:tcPr>
            <w:tcW w:type="dxa" w:w="2520"/>
            <w:vAlign w:val="center"/>
          </w:tcPr>
          <w:p>
            <w:pPr>
              <w:spacing w:after="40"/>
            </w:pPr>
            <w:r>
              <w:rPr>
                <w:rFonts w:ascii="Arial" w:hAnsi="Arial"/>
                <w:sz w:val="17"/>
              </w:rPr>
            </w:r>
            <w:r>
              <w:rPr>
                <w:rFonts w:ascii="Arial" w:hAnsi="Arial"/>
                <w:b w:val="0"/>
                <w:sz w:val="17"/>
              </w:rPr>
              <w:t>Construction, equipment, POS, storage, academy, vendor selection, house rules, staff hiring.</w:t>
            </w:r>
          </w:p>
        </w:tc>
        <w:tc>
          <w:tcPr>
            <w:tcW w:type="dxa" w:w="2520"/>
            <w:vAlign w:val="center"/>
          </w:tcPr>
          <w:p>
            <w:pPr>
              <w:spacing w:after="40"/>
            </w:pPr>
            <w:r>
              <w:rPr>
                <w:rFonts w:ascii="Arial" w:hAnsi="Arial"/>
                <w:sz w:val="17"/>
              </w:rPr>
            </w:r>
            <w:r>
              <w:rPr>
                <w:rFonts w:ascii="Arial" w:hAnsi="Arial"/>
                <w:b w:val="0"/>
                <w:sz w:val="17"/>
              </w:rPr>
              <w:t>Funding, permits, contractor schedule.</w:t>
            </w:r>
          </w:p>
        </w:tc>
        <w:tc>
          <w:tcPr>
            <w:tcW w:type="dxa" w:w="2520"/>
            <w:vAlign w:val="center"/>
          </w:tcPr>
          <w:p>
            <w:pPr>
              <w:spacing w:after="40"/>
            </w:pPr>
            <w:r>
              <w:rPr>
                <w:rFonts w:ascii="Arial" w:hAnsi="Arial"/>
                <w:sz w:val="17"/>
              </w:rPr>
            </w:r>
            <w:r>
              <w:rPr>
                <w:rFonts w:ascii="Arial" w:hAnsi="Arial"/>
                <w:b w:val="0"/>
                <w:sz w:val="17"/>
              </w:rPr>
              <w:t>Facility and vendors ready for soft launch.</w:t>
            </w:r>
          </w:p>
        </w:tc>
      </w:tr>
      <w:tr>
        <w:tc>
          <w:tcPr>
            <w:tcW w:type="dxa" w:w="2520"/>
            <w:vAlign w:val="center"/>
          </w:tcPr>
          <w:p>
            <w:pPr>
              <w:spacing w:after="40"/>
            </w:pPr>
            <w:r>
              <w:rPr>
                <w:rFonts w:ascii="Arial" w:hAnsi="Arial"/>
                <w:sz w:val="17"/>
              </w:rPr>
            </w:r>
            <w:r>
              <w:rPr>
                <w:rFonts w:ascii="Arial" w:hAnsi="Arial"/>
                <w:b w:val="0"/>
                <w:sz w:val="17"/>
              </w:rPr>
              <w:t>Phase 3 - Launch/stabilization</w:t>
            </w:r>
          </w:p>
        </w:tc>
        <w:tc>
          <w:tcPr>
            <w:tcW w:type="dxa" w:w="2520"/>
            <w:vAlign w:val="center"/>
          </w:tcPr>
          <w:p>
            <w:pPr>
              <w:spacing w:after="40"/>
            </w:pPr>
            <w:r>
              <w:rPr>
                <w:rFonts w:ascii="Arial" w:hAnsi="Arial"/>
                <w:sz w:val="17"/>
              </w:rPr>
            </w:r>
            <w:r>
              <w:rPr>
                <w:rFonts w:ascii="Arial" w:hAnsi="Arial"/>
                <w:b w:val="0"/>
                <w:sz w:val="17"/>
              </w:rPr>
              <w:t>Soft opening, KPI tracking, events, monthly reviews, corrective actions, reserve monitoring.</w:t>
            </w:r>
          </w:p>
        </w:tc>
        <w:tc>
          <w:tcPr>
            <w:tcW w:type="dxa" w:w="2520"/>
            <w:vAlign w:val="center"/>
          </w:tcPr>
          <w:p>
            <w:pPr>
              <w:spacing w:after="40"/>
            </w:pPr>
            <w:r>
              <w:rPr>
                <w:rFonts w:ascii="Arial" w:hAnsi="Arial"/>
                <w:sz w:val="17"/>
              </w:rPr>
            </w:r>
            <w:r>
              <w:rPr>
                <w:rFonts w:ascii="Arial" w:hAnsi="Arial"/>
                <w:b w:val="0"/>
                <w:sz w:val="17"/>
              </w:rPr>
              <w:t>Staff trained, vendors onboarded, inspection readiness.</w:t>
            </w:r>
          </w:p>
        </w:tc>
        <w:tc>
          <w:tcPr>
            <w:tcW w:type="dxa" w:w="2520"/>
            <w:vAlign w:val="center"/>
          </w:tcPr>
          <w:p>
            <w:pPr>
              <w:spacing w:after="40"/>
            </w:pPr>
            <w:r>
              <w:rPr>
                <w:rFonts w:ascii="Arial" w:hAnsi="Arial"/>
                <w:sz w:val="17"/>
              </w:rPr>
            </w:r>
            <w:r>
              <w:rPr>
                <w:rFonts w:ascii="Arial" w:hAnsi="Arial"/>
                <w:b w:val="0"/>
                <w:sz w:val="17"/>
              </w:rPr>
              <w:t>Reliable operations and financial reporting.</w:t>
            </w:r>
          </w:p>
        </w:tc>
      </w:tr>
      <w:tr>
        <w:tc>
          <w:tcPr>
            <w:tcW w:type="dxa" w:w="2520"/>
            <w:vAlign w:val="center"/>
          </w:tcPr>
          <w:p>
            <w:pPr>
              <w:spacing w:after="40"/>
            </w:pPr>
            <w:r>
              <w:rPr>
                <w:rFonts w:ascii="Arial" w:hAnsi="Arial"/>
                <w:sz w:val="17"/>
              </w:rPr>
            </w:r>
            <w:r>
              <w:rPr>
                <w:rFonts w:ascii="Arial" w:hAnsi="Arial"/>
                <w:b w:val="0"/>
                <w:sz w:val="17"/>
              </w:rPr>
              <w:t>Phase 4 - Optimization/graduation</w:t>
            </w:r>
          </w:p>
        </w:tc>
        <w:tc>
          <w:tcPr>
            <w:tcW w:type="dxa" w:w="2520"/>
            <w:vAlign w:val="center"/>
          </w:tcPr>
          <w:p>
            <w:pPr>
              <w:spacing w:after="40"/>
            </w:pPr>
            <w:r>
              <w:rPr>
                <w:rFonts w:ascii="Arial" w:hAnsi="Arial"/>
                <w:sz w:val="17"/>
              </w:rPr>
            </w:r>
            <w:r>
              <w:rPr>
                <w:rFonts w:ascii="Arial" w:hAnsi="Arial"/>
                <w:b w:val="0"/>
                <w:sz w:val="17"/>
              </w:rPr>
              <w:t>Graduation pathways, alumni retail, sponsor renewal, expanded programming, backfill cycle.</w:t>
            </w:r>
          </w:p>
        </w:tc>
        <w:tc>
          <w:tcPr>
            <w:tcW w:type="dxa" w:w="2520"/>
            <w:vAlign w:val="center"/>
          </w:tcPr>
          <w:p>
            <w:pPr>
              <w:spacing w:after="40"/>
            </w:pPr>
            <w:r>
              <w:rPr>
                <w:rFonts w:ascii="Arial" w:hAnsi="Arial"/>
                <w:sz w:val="17"/>
              </w:rPr>
            </w:r>
            <w:r>
              <w:rPr>
                <w:rFonts w:ascii="Arial" w:hAnsi="Arial"/>
                <w:b w:val="0"/>
                <w:sz w:val="17"/>
              </w:rPr>
              <w:t>Stable pipeline and performance data.</w:t>
            </w:r>
          </w:p>
        </w:tc>
        <w:tc>
          <w:tcPr>
            <w:tcW w:type="dxa" w:w="2520"/>
            <w:vAlign w:val="center"/>
          </w:tcPr>
          <w:p>
            <w:pPr>
              <w:spacing w:after="40"/>
            </w:pPr>
            <w:r>
              <w:rPr>
                <w:rFonts w:ascii="Arial" w:hAnsi="Arial"/>
                <w:sz w:val="17"/>
              </w:rPr>
            </w:r>
            <w:r>
              <w:rPr>
                <w:rFonts w:ascii="Arial" w:hAnsi="Arial"/>
                <w:b w:val="0"/>
                <w:sz w:val="17"/>
              </w:rPr>
              <w:t>Documented impact and sustainable NOI.</w:t>
            </w:r>
          </w:p>
        </w:tc>
      </w:tr>
    </w:tbl>
    <w:p/>
    <w:p>
      <w:pPr>
        <w:pStyle w:val="Heading1"/>
      </w:pPr>
      <w:r>
        <w:t>10. Practical Tools</w:t>
      </w:r>
    </w:p>
    <w:p>
      <w:pPr>
        <w:pStyle w:val="Heading2"/>
      </w:pPr>
      <w:r>
        <w:t>Vendor Application Scoring Sheet</w:t>
      </w:r>
    </w:p>
    <w:p>
      <w:pPr>
        <w:pStyle w:val="ListBullet"/>
      </w:pPr>
      <w:r>
        <w:t>Concept fit</w:t>
      </w:r>
    </w:p>
    <w:p>
      <w:pPr>
        <w:pStyle w:val="ListBullet"/>
      </w:pPr>
      <w:r>
        <w:t>Menu differentiation</w:t>
      </w:r>
    </w:p>
    <w:p>
      <w:pPr>
        <w:pStyle w:val="ListBullet"/>
      </w:pPr>
      <w:r>
        <w:t>Financial readiness</w:t>
      </w:r>
    </w:p>
    <w:p>
      <w:pPr>
        <w:pStyle w:val="ListBullet"/>
      </w:pPr>
      <w:r>
        <w:t>Operations capability</w:t>
      </w:r>
    </w:p>
    <w:p>
      <w:pPr>
        <w:pStyle w:val="ListBullet"/>
      </w:pPr>
      <w:r>
        <w:t>Compliance readiness</w:t>
      </w:r>
    </w:p>
    <w:p>
      <w:pPr>
        <w:pStyle w:val="ListBullet"/>
      </w:pPr>
      <w:r>
        <w:t>Mission/community fit</w:t>
      </w:r>
    </w:p>
    <w:p>
      <w:pPr>
        <w:pStyle w:val="ListBullet"/>
      </w:pPr>
      <w:r>
        <w:t>Coachability</w:t>
      </w:r>
    </w:p>
    <w:p>
      <w:pPr>
        <w:pStyle w:val="ListBullet"/>
      </w:pPr>
      <w:r>
        <w:t>Launch timeline</w:t>
      </w:r>
    </w:p>
    <w:p>
      <w:pPr>
        <w:pStyle w:val="Heading2"/>
      </w:pPr>
      <w:r>
        <w:t>Vendor Onboarding Checklist</w:t>
      </w:r>
    </w:p>
    <w:p>
      <w:pPr>
        <w:pStyle w:val="ListBullet"/>
      </w:pPr>
      <w:r>
        <w:t>Signed license</w:t>
      </w:r>
    </w:p>
    <w:p>
      <w:pPr>
        <w:pStyle w:val="ListBullet"/>
      </w:pPr>
      <w:r>
        <w:t>Insurance certificate</w:t>
      </w:r>
    </w:p>
    <w:p>
      <w:pPr>
        <w:pStyle w:val="ListBullet"/>
      </w:pPr>
      <w:r>
        <w:t>Permit/training records</w:t>
      </w:r>
    </w:p>
    <w:p>
      <w:pPr>
        <w:pStyle w:val="ListBullet"/>
      </w:pPr>
      <w:r>
        <w:t>Menu/allergen submission</w:t>
      </w:r>
    </w:p>
    <w:p>
      <w:pPr>
        <w:pStyle w:val="ListBullet"/>
      </w:pPr>
      <w:r>
        <w:t>POS setup</w:t>
      </w:r>
    </w:p>
    <w:p>
      <w:pPr>
        <w:pStyle w:val="ListBullet"/>
      </w:pPr>
      <w:r>
        <w:t>Storage assignment</w:t>
      </w:r>
    </w:p>
    <w:p>
      <w:pPr>
        <w:pStyle w:val="ListBullet"/>
      </w:pPr>
      <w:r>
        <w:t>Cleaning training</w:t>
      </w:r>
    </w:p>
    <w:p>
      <w:pPr>
        <w:pStyle w:val="ListBullet"/>
      </w:pPr>
      <w:r>
        <w:t>Soft-opening date</w:t>
      </w:r>
    </w:p>
    <w:p>
      <w:pPr>
        <w:pStyle w:val="Heading2"/>
      </w:pPr>
      <w:r>
        <w:t>Monthly Review Scorecard</w:t>
      </w:r>
    </w:p>
    <w:p>
      <w:pPr>
        <w:pStyle w:val="ListBullet"/>
      </w:pPr>
      <w:r>
        <w:t>Sales</w:t>
      </w:r>
    </w:p>
    <w:p>
      <w:pPr>
        <w:pStyle w:val="ListBullet"/>
      </w:pPr>
      <w:r>
        <w:t>Gross margin</w:t>
      </w:r>
    </w:p>
    <w:p>
      <w:pPr>
        <w:pStyle w:val="ListBullet"/>
      </w:pPr>
      <w:r>
        <w:t>Rent-to-sales</w:t>
      </w:r>
    </w:p>
    <w:p>
      <w:pPr>
        <w:pStyle w:val="ListBullet"/>
      </w:pPr>
      <w:r>
        <w:t>Staffing</w:t>
      </w:r>
    </w:p>
    <w:p>
      <w:pPr>
        <w:pStyle w:val="ListBullet"/>
      </w:pPr>
      <w:r>
        <w:t>Guest feedback</w:t>
      </w:r>
    </w:p>
    <w:p>
      <w:pPr>
        <w:pStyle w:val="ListBullet"/>
      </w:pPr>
      <w:r>
        <w:t>Compliance</w:t>
      </w:r>
    </w:p>
    <w:p>
      <w:pPr>
        <w:pStyle w:val="ListBullet"/>
      </w:pPr>
      <w:r>
        <w:t>Cleanliness</w:t>
      </w:r>
    </w:p>
    <w:p>
      <w:pPr>
        <w:pStyle w:val="ListBullet"/>
      </w:pPr>
      <w:r>
        <w:t>Marketing participation</w:t>
      </w:r>
    </w:p>
    <w:p>
      <w:pPr>
        <w:pStyle w:val="ListBullet"/>
      </w:pPr>
      <w:r>
        <w:t>Graduation readiness</w:t>
      </w:r>
    </w:p>
    <w:p>
      <w:pPr>
        <w:pStyle w:val="Heading2"/>
      </w:pPr>
      <w:r>
        <w:t>Graduation Criteria</w:t>
      </w:r>
    </w:p>
    <w:p>
      <w:pPr>
        <w:pStyle w:val="ListBullet"/>
      </w:pPr>
      <w:r>
        <w:t>Stable sales</w:t>
      </w:r>
    </w:p>
    <w:p>
      <w:pPr>
        <w:pStyle w:val="ListBullet"/>
      </w:pPr>
      <w:r>
        <w:t>Documented margins</w:t>
      </w:r>
    </w:p>
    <w:p>
      <w:pPr>
        <w:pStyle w:val="ListBullet"/>
      </w:pPr>
      <w:r>
        <w:t>Reliable staffing</w:t>
      </w:r>
    </w:p>
    <w:p>
      <w:pPr>
        <w:pStyle w:val="ListBullet"/>
      </w:pPr>
      <w:r>
        <w:t>Compliance record</w:t>
      </w:r>
    </w:p>
    <w:p>
      <w:pPr>
        <w:pStyle w:val="ListBullet"/>
      </w:pPr>
      <w:r>
        <w:t>Customer demand</w:t>
      </w:r>
    </w:p>
    <w:p>
      <w:pPr>
        <w:pStyle w:val="ListBullet"/>
      </w:pPr>
      <w:r>
        <w:t>Growth path</w:t>
      </w:r>
    </w:p>
    <w:p>
      <w:pPr>
        <w:pStyle w:val="ListBullet"/>
      </w:pPr>
      <w:r>
        <w:t>Capital readiness</w:t>
      </w:r>
    </w:p>
    <w:p>
      <w:pPr>
        <w:pStyle w:val="ListBullet"/>
      </w:pPr>
      <w:r>
        <w:t>Transition plan</w:t>
      </w:r>
    </w:p>
    <w:p>
      <w:pPr>
        <w:pStyle w:val="Heading2"/>
      </w:pPr>
      <w:r>
        <w:t>Vendor Improvement Plan</w:t>
      </w:r>
    </w:p>
    <w:p>
      <w:pPr>
        <w:pStyle w:val="ListBullet"/>
      </w:pPr>
      <w:r>
        <w:t>Issue</w:t>
      </w:r>
    </w:p>
    <w:p>
      <w:pPr>
        <w:pStyle w:val="ListBullet"/>
      </w:pPr>
      <w:r>
        <w:t>Root cause</w:t>
      </w:r>
    </w:p>
    <w:p>
      <w:pPr>
        <w:pStyle w:val="ListBullet"/>
      </w:pPr>
      <w:r>
        <w:t>Corrective actions</w:t>
      </w:r>
    </w:p>
    <w:p>
      <w:pPr>
        <w:pStyle w:val="ListBullet"/>
      </w:pPr>
      <w:r>
        <w:t>Support offered</w:t>
      </w:r>
    </w:p>
    <w:p>
      <w:pPr>
        <w:pStyle w:val="ListBullet"/>
      </w:pPr>
      <w:r>
        <w:t>Timeline</w:t>
      </w:r>
    </w:p>
    <w:p>
      <w:pPr>
        <w:pStyle w:val="ListBullet"/>
      </w:pPr>
      <w:r>
        <w:t>Evidence required</w:t>
      </w:r>
    </w:p>
    <w:p>
      <w:pPr>
        <w:pStyle w:val="ListBullet"/>
      </w:pPr>
      <w:r>
        <w:t>Follow-up date</w:t>
      </w:r>
    </w:p>
    <w:p>
      <w:pPr>
        <w:pStyle w:val="ListBullet"/>
      </w:pPr>
      <w:r>
        <w:t>Consequence</w:t>
      </w:r>
    </w:p>
    <w:p>
      <w:pPr>
        <w:pStyle w:val="Heading2"/>
      </w:pPr>
      <w:r>
        <w:t>House Rules Checklist</w:t>
      </w:r>
    </w:p>
    <w:p>
      <w:pPr>
        <w:pStyle w:val="ListBullet"/>
      </w:pPr>
      <w:r>
        <w:t>Hours</w:t>
      </w:r>
    </w:p>
    <w:p>
      <w:pPr>
        <w:pStyle w:val="ListBullet"/>
      </w:pPr>
      <w:r>
        <w:t>Storage</w:t>
      </w:r>
    </w:p>
    <w:p>
      <w:pPr>
        <w:pStyle w:val="ListBullet"/>
      </w:pPr>
      <w:r>
        <w:t>Cleaning</w:t>
      </w:r>
    </w:p>
    <w:p>
      <w:pPr>
        <w:pStyle w:val="ListBullet"/>
      </w:pPr>
      <w:r>
        <w:t>Menu changes</w:t>
      </w:r>
    </w:p>
    <w:p>
      <w:pPr>
        <w:pStyle w:val="ListBullet"/>
      </w:pPr>
      <w:r>
        <w:t>Signage</w:t>
      </w:r>
    </w:p>
    <w:p>
      <w:pPr>
        <w:pStyle w:val="ListBullet"/>
      </w:pPr>
      <w:r>
        <w:t>Shared equipment</w:t>
      </w:r>
    </w:p>
    <w:p>
      <w:pPr>
        <w:pStyle w:val="ListBullet"/>
      </w:pPr>
      <w:r>
        <w:t>Incident reporting</w:t>
      </w:r>
    </w:p>
    <w:p>
      <w:pPr>
        <w:pStyle w:val="ListBullet"/>
      </w:pPr>
      <w:r>
        <w:t>Sales reporting</w:t>
      </w:r>
    </w:p>
    <w:p>
      <w:pPr>
        <w:pStyle w:val="ListBullet"/>
      </w:pPr>
      <w:r>
        <w:t>Waste</w:t>
      </w:r>
    </w:p>
    <w:p>
      <w:pPr>
        <w:pStyle w:val="Heading2"/>
      </w:pPr>
      <w:r>
        <w:t>Shared Services Rules</w:t>
      </w:r>
    </w:p>
    <w:p>
      <w:pPr>
        <w:pStyle w:val="ListBullet"/>
      </w:pPr>
      <w:r>
        <w:t>Dish</w:t>
      </w:r>
    </w:p>
    <w:p>
      <w:pPr>
        <w:pStyle w:val="ListBullet"/>
      </w:pPr>
      <w:r>
        <w:t>Trash</w:t>
      </w:r>
    </w:p>
    <w:p>
      <w:pPr>
        <w:pStyle w:val="ListBullet"/>
      </w:pPr>
      <w:r>
        <w:t>Grease</w:t>
      </w:r>
    </w:p>
    <w:p>
      <w:pPr>
        <w:pStyle w:val="ListBullet"/>
      </w:pPr>
      <w:r>
        <w:t>Receiving</w:t>
      </w:r>
    </w:p>
    <w:p>
      <w:pPr>
        <w:pStyle w:val="ListBullet"/>
      </w:pPr>
      <w:r>
        <w:t>Cold storage</w:t>
      </w:r>
    </w:p>
    <w:p>
      <w:pPr>
        <w:pStyle w:val="ListBullet"/>
      </w:pPr>
      <w:r>
        <w:t>Dry storage</w:t>
      </w:r>
    </w:p>
    <w:p>
      <w:pPr>
        <w:pStyle w:val="ListBullet"/>
      </w:pPr>
      <w:r>
        <w:t>Commissary scheduling</w:t>
      </w:r>
    </w:p>
    <w:p>
      <w:pPr>
        <w:pStyle w:val="ListBullet"/>
      </w:pPr>
      <w:r>
        <w:t>Event load-in/out</w:t>
      </w:r>
    </w:p>
    <w:p>
      <w:pPr>
        <w:pStyle w:val="Heading2"/>
      </w:pPr>
      <w:r>
        <w:t>Sponsor Package Tracker</w:t>
      </w:r>
    </w:p>
    <w:p>
      <w:pPr>
        <w:pStyle w:val="ListBullet"/>
      </w:pPr>
      <w:r>
        <w:t>Sponsor prospect</w:t>
      </w:r>
    </w:p>
    <w:p>
      <w:pPr>
        <w:pStyle w:val="ListBullet"/>
      </w:pPr>
      <w:r>
        <w:t>Package</w:t>
      </w:r>
    </w:p>
    <w:p>
      <w:pPr>
        <w:pStyle w:val="ListBullet"/>
      </w:pPr>
      <w:r>
        <w:t>Ask amount</w:t>
      </w:r>
    </w:p>
    <w:p>
      <w:pPr>
        <w:pStyle w:val="ListBullet"/>
      </w:pPr>
      <w:r>
        <w:t>Benefits</w:t>
      </w:r>
    </w:p>
    <w:p>
      <w:pPr>
        <w:pStyle w:val="ListBullet"/>
      </w:pPr>
      <w:r>
        <w:t>Status</w:t>
      </w:r>
    </w:p>
    <w:p>
      <w:pPr>
        <w:pStyle w:val="ListBullet"/>
      </w:pPr>
      <w:r>
        <w:t>Contact</w:t>
      </w:r>
    </w:p>
    <w:p>
      <w:pPr>
        <w:pStyle w:val="ListBullet"/>
      </w:pPr>
      <w:r>
        <w:t>Deadline</w:t>
      </w:r>
    </w:p>
    <w:p>
      <w:pPr>
        <w:pStyle w:val="ListBullet"/>
      </w:pPr>
      <w:r>
        <w:t>Fulfillment notes</w:t>
      </w:r>
    </w:p>
    <w:p>
      <w:pPr>
        <w:pStyle w:val="Heading2"/>
      </w:pPr>
      <w:r>
        <w:t>Proof-Event Evaluation Template</w:t>
      </w:r>
    </w:p>
    <w:p>
      <w:pPr>
        <w:pStyle w:val="ListBullet"/>
      </w:pPr>
      <w:r>
        <w:t>Date</w:t>
      </w:r>
    </w:p>
    <w:p>
      <w:pPr>
        <w:pStyle w:val="ListBullet"/>
      </w:pPr>
      <w:r>
        <w:t>Vendors</w:t>
      </w:r>
    </w:p>
    <w:p>
      <w:pPr>
        <w:pStyle w:val="ListBullet"/>
      </w:pPr>
      <w:r>
        <w:t>Attendance</w:t>
      </w:r>
    </w:p>
    <w:p>
      <w:pPr>
        <w:pStyle w:val="ListBullet"/>
      </w:pPr>
      <w:r>
        <w:t>Sales</w:t>
      </w:r>
    </w:p>
    <w:p>
      <w:pPr>
        <w:pStyle w:val="ListBullet"/>
      </w:pPr>
      <w:r>
        <w:t>Average ticket</w:t>
      </w:r>
    </w:p>
    <w:p>
      <w:pPr>
        <w:pStyle w:val="ListBullet"/>
      </w:pPr>
      <w:r>
        <w:t>Email signups</w:t>
      </w:r>
    </w:p>
    <w:p>
      <w:pPr>
        <w:pStyle w:val="ListBullet"/>
      </w:pPr>
      <w:r>
        <w:t>Feedback</w:t>
      </w:r>
    </w:p>
    <w:p>
      <w:pPr>
        <w:pStyle w:val="ListBullet"/>
      </w:pPr>
      <w:r>
        <w:t>Sponsor interest</w:t>
      </w:r>
    </w:p>
    <w:p>
      <w:pPr>
        <w:pStyle w:val="ListBullet"/>
      </w:pPr>
      <w:r>
        <w:t>Lessons</w:t>
      </w:r>
    </w:p>
    <w:p>
      <w:pPr>
        <w:pStyle w:val="Heading1"/>
      </w:pPr>
      <w:r>
        <w:t>Compliance File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File Category</w:t>
            </w:r>
          </w:p>
        </w:tc>
        <w:tc>
          <w:tcPr>
            <w:tcW w:type="dxa" w:w="3360"/>
            <w:vAlign w:val="center"/>
            <w:shd w:fill="1F4E5F"/>
          </w:tcPr>
          <w:p>
            <w:pPr>
              <w:spacing w:after="40"/>
            </w:pPr>
            <w:r>
              <w:rPr>
                <w:rFonts w:ascii="Arial" w:hAnsi="Arial"/>
                <w:sz w:val="17"/>
              </w:rPr>
            </w:r>
            <w:r>
              <w:rPr>
                <w:rFonts w:ascii="Arial" w:hAnsi="Arial"/>
                <w:b/>
                <w:color w:val="FFFFFF"/>
                <w:sz w:val="17"/>
              </w:rPr>
              <w:t>Documents to Maintain</w:t>
            </w:r>
          </w:p>
        </w:tc>
        <w:tc>
          <w:tcPr>
            <w:tcW w:type="dxa" w:w="3360"/>
            <w:vAlign w:val="center"/>
            <w:shd w:fill="1F4E5F"/>
          </w:tcPr>
          <w:p>
            <w:pPr>
              <w:spacing w:after="40"/>
            </w:pPr>
            <w:r>
              <w:rPr>
                <w:rFonts w:ascii="Arial" w:hAnsi="Arial"/>
                <w:sz w:val="17"/>
              </w:rPr>
            </w:r>
            <w:r>
              <w:rPr>
                <w:rFonts w:ascii="Arial" w:hAnsi="Arial"/>
                <w:b/>
                <w:color w:val="FFFFFF"/>
                <w:sz w:val="17"/>
              </w:rPr>
              <w:t>Responsible Owner</w:t>
            </w:r>
          </w:p>
        </w:tc>
      </w:tr>
      <w:tr>
        <w:tc>
          <w:tcPr>
            <w:tcW w:type="dxa" w:w="3360"/>
            <w:vAlign w:val="center"/>
          </w:tcPr>
          <w:p>
            <w:pPr>
              <w:spacing w:after="40"/>
            </w:pPr>
            <w:r>
              <w:rPr>
                <w:rFonts w:ascii="Arial" w:hAnsi="Arial"/>
                <w:sz w:val="17"/>
              </w:rPr>
            </w:r>
            <w:r>
              <w:rPr>
                <w:rFonts w:ascii="Arial" w:hAnsi="Arial"/>
                <w:b w:val="0"/>
                <w:sz w:val="17"/>
              </w:rPr>
              <w:t>Food permits and plan review</w:t>
            </w:r>
          </w:p>
        </w:tc>
        <w:tc>
          <w:tcPr>
            <w:tcW w:type="dxa" w:w="3360"/>
            <w:vAlign w:val="center"/>
          </w:tcPr>
          <w:p>
            <w:pPr>
              <w:spacing w:after="40"/>
            </w:pPr>
            <w:r>
              <w:rPr>
                <w:rFonts w:ascii="Arial" w:hAnsi="Arial"/>
                <w:sz w:val="17"/>
              </w:rPr>
            </w:r>
            <w:r>
              <w:rPr>
                <w:rFonts w:ascii="Arial" w:hAnsi="Arial"/>
                <w:b w:val="0"/>
                <w:sz w:val="17"/>
              </w:rPr>
              <w:t>NMED applications, permit approvals, inspection reports, approved plans, equipment lists, menu/process descriptions, corrective-action records.</w:t>
            </w:r>
          </w:p>
        </w:tc>
        <w:tc>
          <w:tcPr>
            <w:tcW w:type="dxa" w:w="3360"/>
            <w:vAlign w:val="center"/>
          </w:tcPr>
          <w:p>
            <w:pPr>
              <w:spacing w:after="40"/>
            </w:pPr>
            <w:r>
              <w:rPr>
                <w:rFonts w:ascii="Arial" w:hAnsi="Arial"/>
                <w:sz w:val="17"/>
              </w:rPr>
            </w:r>
            <w:r>
              <w:rPr>
                <w:rFonts w:ascii="Arial" w:hAnsi="Arial"/>
                <w:b w:val="0"/>
                <w:sz w:val="17"/>
              </w:rPr>
              <w:t>Operations Director / Kitchen Manager</w:t>
            </w:r>
          </w:p>
        </w:tc>
      </w:tr>
      <w:tr>
        <w:tc>
          <w:tcPr>
            <w:tcW w:type="dxa" w:w="3360"/>
            <w:vAlign w:val="center"/>
          </w:tcPr>
          <w:p>
            <w:pPr>
              <w:spacing w:after="40"/>
            </w:pPr>
            <w:r>
              <w:rPr>
                <w:rFonts w:ascii="Arial" w:hAnsi="Arial"/>
                <w:sz w:val="17"/>
              </w:rPr>
            </w:r>
            <w:r>
              <w:rPr>
                <w:rFonts w:ascii="Arial" w:hAnsi="Arial"/>
                <w:b w:val="0"/>
                <w:sz w:val="17"/>
              </w:rPr>
              <w:t>Training records</w:t>
            </w:r>
          </w:p>
        </w:tc>
        <w:tc>
          <w:tcPr>
            <w:tcW w:type="dxa" w:w="3360"/>
            <w:vAlign w:val="center"/>
          </w:tcPr>
          <w:p>
            <w:pPr>
              <w:spacing w:after="40"/>
            </w:pPr>
            <w:r>
              <w:rPr>
                <w:rFonts w:ascii="Arial" w:hAnsi="Arial"/>
                <w:sz w:val="17"/>
              </w:rPr>
            </w:r>
            <w:r>
              <w:rPr>
                <w:rFonts w:ascii="Arial" w:hAnsi="Arial"/>
                <w:b w:val="0"/>
                <w:sz w:val="17"/>
              </w:rPr>
              <w:t>Food handler cards or approved training records, Certified Food Protection Manager certificates, allergen training, chemical safety, emergency procedure signoffs.</w:t>
            </w:r>
          </w:p>
        </w:tc>
        <w:tc>
          <w:tcPr>
            <w:tcW w:type="dxa" w:w="3360"/>
            <w:vAlign w:val="center"/>
          </w:tcPr>
          <w:p>
            <w:pPr>
              <w:spacing w:after="40"/>
            </w:pPr>
            <w:r>
              <w:rPr>
                <w:rFonts w:ascii="Arial" w:hAnsi="Arial"/>
                <w:sz w:val="17"/>
              </w:rPr>
            </w:r>
            <w:r>
              <w:rPr>
                <w:rFonts w:ascii="Arial" w:hAnsi="Arial"/>
                <w:b w:val="0"/>
                <w:sz w:val="17"/>
              </w:rPr>
              <w:t>Kitchen Manager / Program Coordinator</w:t>
            </w:r>
          </w:p>
        </w:tc>
      </w:tr>
      <w:tr>
        <w:tc>
          <w:tcPr>
            <w:tcW w:type="dxa" w:w="3360"/>
            <w:vAlign w:val="center"/>
          </w:tcPr>
          <w:p>
            <w:pPr>
              <w:spacing w:after="40"/>
            </w:pPr>
            <w:r>
              <w:rPr>
                <w:rFonts w:ascii="Arial" w:hAnsi="Arial"/>
                <w:sz w:val="17"/>
              </w:rPr>
            </w:r>
            <w:r>
              <w:rPr>
                <w:rFonts w:ascii="Arial" w:hAnsi="Arial"/>
                <w:b w:val="0"/>
                <w:sz w:val="17"/>
              </w:rPr>
              <w:t>Daily food-safety logs</w:t>
            </w:r>
          </w:p>
        </w:tc>
        <w:tc>
          <w:tcPr>
            <w:tcW w:type="dxa" w:w="3360"/>
            <w:vAlign w:val="center"/>
          </w:tcPr>
          <w:p>
            <w:pPr>
              <w:spacing w:after="40"/>
            </w:pPr>
            <w:r>
              <w:rPr>
                <w:rFonts w:ascii="Arial" w:hAnsi="Arial"/>
                <w:sz w:val="17"/>
              </w:rPr>
            </w:r>
            <w:r>
              <w:rPr>
                <w:rFonts w:ascii="Arial" w:hAnsi="Arial"/>
                <w:b w:val="0"/>
                <w:sz w:val="17"/>
              </w:rPr>
              <w:t>Receiving logs, cold/hot holding logs, cooling/reheating logs, sanitizer logs, cleaning schedules, pest-control records.</w:t>
            </w:r>
          </w:p>
        </w:tc>
        <w:tc>
          <w:tcPr>
            <w:tcW w:type="dxa" w:w="3360"/>
            <w:vAlign w:val="center"/>
          </w:tcPr>
          <w:p>
            <w:pPr>
              <w:spacing w:after="40"/>
            </w:pPr>
            <w:r>
              <w:rPr>
                <w:rFonts w:ascii="Arial" w:hAnsi="Arial"/>
                <w:sz w:val="17"/>
              </w:rPr>
            </w:r>
            <w:r>
              <w:rPr>
                <w:rFonts w:ascii="Arial" w:hAnsi="Arial"/>
                <w:b w:val="0"/>
                <w:sz w:val="17"/>
              </w:rPr>
              <w:t>Shift Lead / Person in Charge</w:t>
            </w:r>
          </w:p>
        </w:tc>
      </w:tr>
      <w:tr>
        <w:tc>
          <w:tcPr>
            <w:tcW w:type="dxa" w:w="3360"/>
            <w:vAlign w:val="center"/>
          </w:tcPr>
          <w:p>
            <w:pPr>
              <w:spacing w:after="40"/>
            </w:pPr>
            <w:r>
              <w:rPr>
                <w:rFonts w:ascii="Arial" w:hAnsi="Arial"/>
                <w:sz w:val="17"/>
              </w:rPr>
            </w:r>
            <w:r>
              <w:rPr>
                <w:rFonts w:ascii="Arial" w:hAnsi="Arial"/>
                <w:b w:val="0"/>
                <w:sz w:val="17"/>
              </w:rPr>
              <w:t>Vendor files</w:t>
            </w:r>
          </w:p>
        </w:tc>
        <w:tc>
          <w:tcPr>
            <w:tcW w:type="dxa" w:w="3360"/>
            <w:vAlign w:val="center"/>
          </w:tcPr>
          <w:p>
            <w:pPr>
              <w:spacing w:after="40"/>
            </w:pPr>
            <w:r>
              <w:rPr>
                <w:rFonts w:ascii="Arial" w:hAnsi="Arial"/>
                <w:sz w:val="17"/>
              </w:rPr>
            </w:r>
            <w:r>
              <w:rPr>
                <w:rFonts w:ascii="Arial" w:hAnsi="Arial"/>
                <w:b w:val="0"/>
                <w:sz w:val="17"/>
              </w:rPr>
              <w:t>License agreement, insurance certificate, permits, menu, allergens, retail addendum, POS setup, tax documentation, emergency contacts.</w:t>
            </w:r>
          </w:p>
        </w:tc>
        <w:tc>
          <w:tcPr>
            <w:tcW w:type="dxa" w:w="3360"/>
            <w:vAlign w:val="center"/>
          </w:tcPr>
          <w:p>
            <w:pPr>
              <w:spacing w:after="40"/>
            </w:pPr>
            <w:r>
              <w:rPr>
                <w:rFonts w:ascii="Arial" w:hAnsi="Arial"/>
                <w:sz w:val="17"/>
              </w:rPr>
            </w:r>
            <w:r>
              <w:rPr>
                <w:rFonts w:ascii="Arial" w:hAnsi="Arial"/>
                <w:b w:val="0"/>
                <w:sz w:val="17"/>
              </w:rPr>
              <w:t>Incubator Director / Admin</w:t>
            </w:r>
          </w:p>
        </w:tc>
      </w:tr>
      <w:tr>
        <w:tc>
          <w:tcPr>
            <w:tcW w:type="dxa" w:w="3360"/>
            <w:vAlign w:val="center"/>
          </w:tcPr>
          <w:p>
            <w:pPr>
              <w:spacing w:after="40"/>
            </w:pPr>
            <w:r>
              <w:rPr>
                <w:rFonts w:ascii="Arial" w:hAnsi="Arial"/>
                <w:sz w:val="17"/>
              </w:rPr>
            </w:r>
            <w:r>
              <w:rPr>
                <w:rFonts w:ascii="Arial" w:hAnsi="Arial"/>
                <w:b w:val="0"/>
                <w:sz w:val="17"/>
              </w:rPr>
              <w:t>Business/tax records</w:t>
            </w:r>
          </w:p>
        </w:tc>
        <w:tc>
          <w:tcPr>
            <w:tcW w:type="dxa" w:w="3360"/>
            <w:vAlign w:val="center"/>
          </w:tcPr>
          <w:p>
            <w:pPr>
              <w:spacing w:after="40"/>
            </w:pPr>
            <w:r>
              <w:rPr>
                <w:rFonts w:ascii="Arial" w:hAnsi="Arial"/>
                <w:sz w:val="17"/>
              </w:rPr>
            </w:r>
            <w:r>
              <w:rPr>
                <w:rFonts w:ascii="Arial" w:hAnsi="Arial"/>
                <w:b w:val="0"/>
                <w:sz w:val="17"/>
              </w:rPr>
              <w:t>NM CRS/business tax registration, Las Cruces business registration, GRT filing support, W-9/vendor tax records where applicable.</w:t>
            </w:r>
          </w:p>
        </w:tc>
        <w:tc>
          <w:tcPr>
            <w:tcW w:type="dxa" w:w="3360"/>
            <w:vAlign w:val="center"/>
          </w:tcPr>
          <w:p>
            <w:pPr>
              <w:spacing w:after="40"/>
            </w:pPr>
            <w:r>
              <w:rPr>
                <w:rFonts w:ascii="Arial" w:hAnsi="Arial"/>
                <w:sz w:val="17"/>
              </w:rPr>
            </w:r>
            <w:r>
              <w:rPr>
                <w:rFonts w:ascii="Arial" w:hAnsi="Arial"/>
                <w:b w:val="0"/>
                <w:sz w:val="17"/>
              </w:rPr>
              <w:t>Finance/Admin</w:t>
            </w:r>
          </w:p>
        </w:tc>
      </w:tr>
      <w:tr>
        <w:tc>
          <w:tcPr>
            <w:tcW w:type="dxa" w:w="3360"/>
            <w:vAlign w:val="center"/>
          </w:tcPr>
          <w:p>
            <w:pPr>
              <w:spacing w:after="40"/>
            </w:pPr>
            <w:r>
              <w:rPr>
                <w:rFonts w:ascii="Arial" w:hAnsi="Arial"/>
                <w:sz w:val="17"/>
              </w:rPr>
            </w:r>
            <w:r>
              <w:rPr>
                <w:rFonts w:ascii="Arial" w:hAnsi="Arial"/>
                <w:b w:val="0"/>
                <w:sz w:val="17"/>
              </w:rPr>
              <w:t>Alcohol records</w:t>
            </w:r>
          </w:p>
        </w:tc>
        <w:tc>
          <w:tcPr>
            <w:tcW w:type="dxa" w:w="3360"/>
            <w:vAlign w:val="center"/>
          </w:tcPr>
          <w:p>
            <w:pPr>
              <w:spacing w:after="40"/>
            </w:pPr>
            <w:r>
              <w:rPr>
                <w:rFonts w:ascii="Arial" w:hAnsi="Arial"/>
                <w:sz w:val="17"/>
              </w:rPr>
            </w:r>
            <w:r>
              <w:rPr>
                <w:rFonts w:ascii="Arial" w:hAnsi="Arial"/>
                <w:b w:val="0"/>
                <w:sz w:val="17"/>
              </w:rPr>
              <w:t>ABC/RLD license documents, alcohol server permits/training, event permits, inventory records, incident logs, age-verification policy.</w:t>
            </w:r>
          </w:p>
        </w:tc>
        <w:tc>
          <w:tcPr>
            <w:tcW w:type="dxa" w:w="3360"/>
            <w:vAlign w:val="center"/>
          </w:tcPr>
          <w:p>
            <w:pPr>
              <w:spacing w:after="40"/>
            </w:pPr>
            <w:r>
              <w:rPr>
                <w:rFonts w:ascii="Arial" w:hAnsi="Arial"/>
                <w:sz w:val="17"/>
              </w:rPr>
            </w:r>
            <w:r>
              <w:rPr>
                <w:rFonts w:ascii="Arial" w:hAnsi="Arial"/>
                <w:b w:val="0"/>
                <w:sz w:val="17"/>
              </w:rPr>
              <w:t>Bar Manager / Compliance Lead</w:t>
            </w:r>
          </w:p>
        </w:tc>
      </w:tr>
      <w:tr>
        <w:tc>
          <w:tcPr>
            <w:tcW w:type="dxa" w:w="3360"/>
            <w:vAlign w:val="center"/>
          </w:tcPr>
          <w:p>
            <w:pPr>
              <w:spacing w:after="40"/>
            </w:pPr>
            <w:r>
              <w:rPr>
                <w:rFonts w:ascii="Arial" w:hAnsi="Arial"/>
                <w:sz w:val="17"/>
              </w:rPr>
            </w:r>
            <w:r>
              <w:rPr>
                <w:rFonts w:ascii="Arial" w:hAnsi="Arial"/>
                <w:b w:val="0"/>
                <w:sz w:val="17"/>
              </w:rPr>
              <w:t>Packaged-food retail</w:t>
            </w:r>
          </w:p>
        </w:tc>
        <w:tc>
          <w:tcPr>
            <w:tcW w:type="dxa" w:w="3360"/>
            <w:vAlign w:val="center"/>
          </w:tcPr>
          <w:p>
            <w:pPr>
              <w:spacing w:after="40"/>
            </w:pPr>
            <w:r>
              <w:rPr>
                <w:rFonts w:ascii="Arial" w:hAnsi="Arial"/>
                <w:sz w:val="17"/>
              </w:rPr>
            </w:r>
            <w:r>
              <w:rPr>
                <w:rFonts w:ascii="Arial" w:hAnsi="Arial"/>
                <w:b w:val="0"/>
                <w:sz w:val="17"/>
              </w:rPr>
              <w:t>Product approvals, ingredient/allergen labels, batch/source records, vendor product liability coverage, recall contact list.</w:t>
            </w:r>
          </w:p>
        </w:tc>
        <w:tc>
          <w:tcPr>
            <w:tcW w:type="dxa" w:w="3360"/>
            <w:vAlign w:val="center"/>
          </w:tcPr>
          <w:p>
            <w:pPr>
              <w:spacing w:after="40"/>
            </w:pPr>
            <w:r>
              <w:rPr>
                <w:rFonts w:ascii="Arial" w:hAnsi="Arial"/>
                <w:sz w:val="17"/>
              </w:rPr>
            </w:r>
            <w:r>
              <w:rPr>
                <w:rFonts w:ascii="Arial" w:hAnsi="Arial"/>
                <w:b w:val="0"/>
                <w:sz w:val="17"/>
              </w:rPr>
              <w:t>Retail Manager / Vendor</w:t>
            </w:r>
          </w:p>
        </w:tc>
      </w:tr>
      <w:tr>
        <w:tc>
          <w:tcPr>
            <w:tcW w:type="dxa" w:w="3360"/>
            <w:vAlign w:val="center"/>
          </w:tcPr>
          <w:p>
            <w:pPr>
              <w:spacing w:after="40"/>
            </w:pPr>
            <w:r>
              <w:rPr>
                <w:rFonts w:ascii="Arial" w:hAnsi="Arial"/>
                <w:sz w:val="17"/>
              </w:rPr>
            </w:r>
            <w:r>
              <w:rPr>
                <w:rFonts w:ascii="Arial" w:hAnsi="Arial"/>
                <w:b w:val="0"/>
                <w:sz w:val="17"/>
              </w:rPr>
              <w:t>Employment and insurance</w:t>
            </w:r>
          </w:p>
        </w:tc>
        <w:tc>
          <w:tcPr>
            <w:tcW w:type="dxa" w:w="3360"/>
            <w:vAlign w:val="center"/>
          </w:tcPr>
          <w:p>
            <w:pPr>
              <w:spacing w:after="40"/>
            </w:pPr>
            <w:r>
              <w:rPr>
                <w:rFonts w:ascii="Arial" w:hAnsi="Arial"/>
                <w:sz w:val="17"/>
              </w:rPr>
            </w:r>
            <w:r>
              <w:rPr>
                <w:rFonts w:ascii="Arial" w:hAnsi="Arial"/>
                <w:b w:val="0"/>
                <w:sz w:val="17"/>
              </w:rPr>
              <w:t>Workers' compensation coverage, unemployment registration where applicable, payroll records, incident/injury reports, liability policies.</w:t>
            </w:r>
          </w:p>
        </w:tc>
        <w:tc>
          <w:tcPr>
            <w:tcW w:type="dxa" w:w="3360"/>
            <w:vAlign w:val="center"/>
          </w:tcPr>
          <w:p>
            <w:pPr>
              <w:spacing w:after="40"/>
            </w:pPr>
            <w:r>
              <w:rPr>
                <w:rFonts w:ascii="Arial" w:hAnsi="Arial"/>
                <w:sz w:val="17"/>
              </w:rPr>
            </w:r>
            <w:r>
              <w:rPr>
                <w:rFonts w:ascii="Arial" w:hAnsi="Arial"/>
                <w:b w:val="0"/>
                <w:sz w:val="17"/>
              </w:rPr>
              <w:t>Owner / HR / Insurance Broker</w:t>
            </w:r>
          </w:p>
        </w:tc>
      </w:tr>
      <w:tr>
        <w:tc>
          <w:tcPr>
            <w:tcW w:type="dxa" w:w="3360"/>
            <w:vAlign w:val="center"/>
          </w:tcPr>
          <w:p>
            <w:pPr>
              <w:spacing w:after="40"/>
            </w:pPr>
            <w:r>
              <w:rPr>
                <w:rFonts w:ascii="Arial" w:hAnsi="Arial"/>
                <w:sz w:val="17"/>
              </w:rPr>
            </w:r>
            <w:r>
              <w:rPr>
                <w:rFonts w:ascii="Arial" w:hAnsi="Arial"/>
                <w:b w:val="0"/>
                <w:sz w:val="17"/>
              </w:rPr>
              <w:t>Facility and safety</w:t>
            </w:r>
          </w:p>
        </w:tc>
        <w:tc>
          <w:tcPr>
            <w:tcW w:type="dxa" w:w="3360"/>
            <w:vAlign w:val="center"/>
          </w:tcPr>
          <w:p>
            <w:pPr>
              <w:spacing w:after="40"/>
            </w:pPr>
            <w:r>
              <w:rPr>
                <w:rFonts w:ascii="Arial" w:hAnsi="Arial"/>
                <w:sz w:val="17"/>
              </w:rPr>
            </w:r>
            <w:r>
              <w:rPr>
                <w:rFonts w:ascii="Arial" w:hAnsi="Arial"/>
                <w:b w:val="0"/>
                <w:sz w:val="17"/>
              </w:rPr>
              <w:t>Fire inspections, hood/fire-suppression service records, grease interceptor service, equipment maintenance, pest control, security reports.</w:t>
            </w:r>
          </w:p>
        </w:tc>
        <w:tc>
          <w:tcPr>
            <w:tcW w:type="dxa" w:w="3360"/>
            <w:vAlign w:val="center"/>
          </w:tcPr>
          <w:p>
            <w:pPr>
              <w:spacing w:after="40"/>
            </w:pPr>
            <w:r>
              <w:rPr>
                <w:rFonts w:ascii="Arial" w:hAnsi="Arial"/>
                <w:sz w:val="17"/>
              </w:rPr>
            </w:r>
            <w:r>
              <w:rPr>
                <w:rFonts w:ascii="Arial" w:hAnsi="Arial"/>
                <w:b w:val="0"/>
                <w:sz w:val="17"/>
              </w:rPr>
              <w:t>Facilities Lead</w:t>
            </w:r>
          </w:p>
        </w:tc>
      </w:tr>
    </w:tbl>
    <w:p/>
    <w:p>
      <w:pPr>
        <w:pStyle w:val="Heading1"/>
      </w:pPr>
      <w:r>
        <w:t>Sources and Reference Basis</w:t>
      </w:r>
    </w:p>
    <w:p>
      <w:r>
        <w:t>These sources are included to support compliance planning and operations design. They do not replace agency review, legal counsel, architectural/code review, insurance advice, CPA guidance, or final permit determinations.</w:t>
      </w:r>
    </w:p>
    <w:p>
      <w:pPr>
        <w:pStyle w:val="Heading2"/>
      </w:pPr>
      <w:r>
        <w:t>General Food Safety and Shared-Kitchen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Source</w:t>
            </w:r>
          </w:p>
        </w:tc>
        <w:tc>
          <w:tcPr>
            <w:tcW w:type="dxa" w:w="3360"/>
            <w:vAlign w:val="center"/>
            <w:shd w:fill="1F4E5F"/>
          </w:tcPr>
          <w:p>
            <w:pPr>
              <w:spacing w:after="40"/>
            </w:pPr>
            <w:r>
              <w:rPr>
                <w:rFonts w:ascii="Arial" w:hAnsi="Arial"/>
                <w:sz w:val="17"/>
              </w:rPr>
            </w:r>
            <w:r>
              <w:rPr>
                <w:rFonts w:ascii="Arial" w:hAnsi="Arial"/>
                <w:b/>
                <w:color w:val="FFFFFF"/>
                <w:sz w:val="17"/>
              </w:rPr>
              <w:t>Use in Manual</w:t>
            </w:r>
          </w:p>
        </w:tc>
        <w:tc>
          <w:tcPr>
            <w:tcW w:type="dxa" w:w="3360"/>
            <w:vAlign w:val="center"/>
            <w:shd w:fill="1F4E5F"/>
          </w:tcPr>
          <w:p>
            <w:pPr>
              <w:spacing w:after="40"/>
            </w:pPr>
            <w:r>
              <w:rPr>
                <w:rFonts w:ascii="Arial" w:hAnsi="Arial"/>
                <w:sz w:val="17"/>
              </w:rPr>
            </w:r>
            <w:r>
              <w:rPr>
                <w:rFonts w:ascii="Arial" w:hAnsi="Arial"/>
                <w:b/>
                <w:color w:val="FFFFFF"/>
                <w:sz w:val="17"/>
              </w:rPr>
              <w:t>URL</w:t>
            </w:r>
          </w:p>
        </w:tc>
      </w:tr>
      <w:tr>
        <w:tc>
          <w:tcPr>
            <w:tcW w:type="dxa" w:w="3360"/>
            <w:vAlign w:val="center"/>
          </w:tcPr>
          <w:p>
            <w:pPr>
              <w:spacing w:after="40"/>
            </w:pPr>
            <w:r>
              <w:rPr>
                <w:rFonts w:ascii="Arial" w:hAnsi="Arial"/>
                <w:sz w:val="17"/>
              </w:rPr>
            </w:r>
            <w:r>
              <w:rPr>
                <w:rFonts w:ascii="Arial" w:hAnsi="Arial"/>
                <w:b w:val="0"/>
                <w:sz w:val="17"/>
              </w:rPr>
              <w:t>FDA Food Code 2022</w:t>
            </w:r>
          </w:p>
        </w:tc>
        <w:tc>
          <w:tcPr>
            <w:tcW w:type="dxa" w:w="3360"/>
            <w:vAlign w:val="center"/>
          </w:tcPr>
          <w:p>
            <w:pPr>
              <w:spacing w:after="40"/>
            </w:pPr>
            <w:r>
              <w:rPr>
                <w:rFonts w:ascii="Arial" w:hAnsi="Arial"/>
                <w:sz w:val="17"/>
              </w:rPr>
            </w:r>
            <w:r>
              <w:rPr>
                <w:rFonts w:ascii="Arial" w:hAnsi="Arial"/>
                <w:b w:val="0"/>
                <w:sz w:val="17"/>
              </w:rPr>
              <w:t>Model retail food code used to frame food safety, active managerial control, temperature control, contamination prevention, and sanitation concepts. State/local adoption may vary.</w:t>
            </w:r>
          </w:p>
        </w:tc>
        <w:tc>
          <w:tcPr>
            <w:tcW w:type="dxa" w:w="3360"/>
            <w:vAlign w:val="center"/>
          </w:tcPr>
          <w:p>
            <w:pPr>
              <w:spacing w:after="40"/>
            </w:pPr>
            <w:r>
              <w:rPr>
                <w:rFonts w:ascii="Arial" w:hAnsi="Arial"/>
                <w:sz w:val="17"/>
              </w:rPr>
            </w:r>
            <w:r>
              <w:rPr>
                <w:rFonts w:ascii="Arial" w:hAnsi="Arial"/>
                <w:b w:val="0"/>
                <w:sz w:val="17"/>
              </w:rPr>
              <w:t>https://www.fda.gov/food/fda-food-code/food-code-2022</w:t>
            </w:r>
          </w:p>
        </w:tc>
      </w:tr>
      <w:tr>
        <w:tc>
          <w:tcPr>
            <w:tcW w:type="dxa" w:w="3360"/>
            <w:vAlign w:val="center"/>
          </w:tcPr>
          <w:p>
            <w:pPr>
              <w:spacing w:after="40"/>
            </w:pPr>
            <w:r>
              <w:rPr>
                <w:rFonts w:ascii="Arial" w:hAnsi="Arial"/>
                <w:sz w:val="17"/>
              </w:rPr>
            </w:r>
            <w:r>
              <w:rPr>
                <w:rFonts w:ascii="Arial" w:hAnsi="Arial"/>
                <w:b w:val="0"/>
                <w:sz w:val="17"/>
              </w:rPr>
              <w:t>FDA HACCP Principles and Application Guidelines</w:t>
            </w:r>
          </w:p>
        </w:tc>
        <w:tc>
          <w:tcPr>
            <w:tcW w:type="dxa" w:w="3360"/>
            <w:vAlign w:val="center"/>
          </w:tcPr>
          <w:p>
            <w:pPr>
              <w:spacing w:after="40"/>
            </w:pPr>
            <w:r>
              <w:rPr>
                <w:rFonts w:ascii="Arial" w:hAnsi="Arial"/>
                <w:sz w:val="17"/>
              </w:rPr>
            </w:r>
            <w:r>
              <w:rPr>
                <w:rFonts w:ascii="Arial" w:hAnsi="Arial"/>
                <w:b w:val="0"/>
                <w:sz w:val="17"/>
              </w:rPr>
              <w:t>Reference for hazard analysis, critical control points, monitoring, corrective action, verification, and recordkeeping.</w:t>
            </w:r>
          </w:p>
        </w:tc>
        <w:tc>
          <w:tcPr>
            <w:tcW w:type="dxa" w:w="3360"/>
            <w:vAlign w:val="center"/>
          </w:tcPr>
          <w:p>
            <w:pPr>
              <w:spacing w:after="40"/>
            </w:pPr>
            <w:r>
              <w:rPr>
                <w:rFonts w:ascii="Arial" w:hAnsi="Arial"/>
                <w:sz w:val="17"/>
              </w:rPr>
            </w:r>
            <w:r>
              <w:rPr>
                <w:rFonts w:ascii="Arial" w:hAnsi="Arial"/>
                <w:b w:val="0"/>
                <w:sz w:val="17"/>
              </w:rPr>
              <w:t>https://www.fda.gov/food/hazard-analysis-critical-control-point-haccp/haccp-principles-application-guidelines</w:t>
            </w:r>
          </w:p>
        </w:tc>
      </w:tr>
      <w:tr>
        <w:tc>
          <w:tcPr>
            <w:tcW w:type="dxa" w:w="3360"/>
            <w:vAlign w:val="center"/>
          </w:tcPr>
          <w:p>
            <w:pPr>
              <w:spacing w:after="40"/>
            </w:pPr>
            <w:r>
              <w:rPr>
                <w:rFonts w:ascii="Arial" w:hAnsi="Arial"/>
                <w:sz w:val="17"/>
              </w:rPr>
            </w:r>
            <w:r>
              <w:rPr>
                <w:rFonts w:ascii="Arial" w:hAnsi="Arial"/>
                <w:b w:val="0"/>
                <w:sz w:val="17"/>
              </w:rPr>
              <w:t>SARE / Purdue Shared-Kitchen Toolkit</w:t>
            </w:r>
          </w:p>
        </w:tc>
        <w:tc>
          <w:tcPr>
            <w:tcW w:type="dxa" w:w="3360"/>
            <w:vAlign w:val="center"/>
          </w:tcPr>
          <w:p>
            <w:pPr>
              <w:spacing w:after="40"/>
            </w:pPr>
            <w:r>
              <w:rPr>
                <w:rFonts w:ascii="Arial" w:hAnsi="Arial"/>
                <w:sz w:val="17"/>
              </w:rPr>
            </w:r>
            <w:r>
              <w:rPr>
                <w:rFonts w:ascii="Arial" w:hAnsi="Arial"/>
                <w:b w:val="0"/>
                <w:sz w:val="17"/>
              </w:rPr>
              <w:t>Shared-use commercial kitchen planning, launch, management, and user-support reference.</w:t>
            </w:r>
          </w:p>
        </w:tc>
        <w:tc>
          <w:tcPr>
            <w:tcW w:type="dxa" w:w="3360"/>
            <w:vAlign w:val="center"/>
          </w:tcPr>
          <w:p>
            <w:pPr>
              <w:spacing w:after="40"/>
            </w:pPr>
            <w:r>
              <w:rPr>
                <w:rFonts w:ascii="Arial" w:hAnsi="Arial"/>
                <w:sz w:val="17"/>
              </w:rPr>
            </w:r>
            <w:r>
              <w:rPr>
                <w:rFonts w:ascii="Arial" w:hAnsi="Arial"/>
                <w:b w:val="0"/>
                <w:sz w:val="17"/>
              </w:rPr>
              <w:t>https://projects.sare.org/information-product/shared-kitchen-toolkit-a-practical-guide-to-planning-launching-and-managing-a-shared-use-commercial-kitchen/</w:t>
            </w:r>
          </w:p>
        </w:tc>
      </w:tr>
      <w:tr>
        <w:tc>
          <w:tcPr>
            <w:tcW w:type="dxa" w:w="3360"/>
            <w:vAlign w:val="center"/>
          </w:tcPr>
          <w:p>
            <w:pPr>
              <w:spacing w:after="40"/>
            </w:pPr>
            <w:r>
              <w:rPr>
                <w:rFonts w:ascii="Arial" w:hAnsi="Arial"/>
                <w:sz w:val="17"/>
              </w:rPr>
            </w:r>
            <w:r>
              <w:rPr>
                <w:rFonts w:ascii="Arial" w:hAnsi="Arial"/>
                <w:b w:val="0"/>
                <w:sz w:val="17"/>
              </w:rPr>
              <w:t>The Food Corridor</w:t>
            </w:r>
          </w:p>
        </w:tc>
        <w:tc>
          <w:tcPr>
            <w:tcW w:type="dxa" w:w="3360"/>
            <w:vAlign w:val="center"/>
          </w:tcPr>
          <w:p>
            <w:pPr>
              <w:spacing w:after="40"/>
            </w:pPr>
            <w:r>
              <w:rPr>
                <w:rFonts w:ascii="Arial" w:hAnsi="Arial"/>
                <w:sz w:val="17"/>
              </w:rPr>
            </w:r>
            <w:r>
              <w:rPr>
                <w:rFonts w:ascii="Arial" w:hAnsi="Arial"/>
                <w:b w:val="0"/>
                <w:sz w:val="17"/>
              </w:rPr>
              <w:t>Shared-kitchen scheduling, onboarding, billing, compliance document tracking, and renter-management practices.</w:t>
            </w:r>
          </w:p>
        </w:tc>
        <w:tc>
          <w:tcPr>
            <w:tcW w:type="dxa" w:w="3360"/>
            <w:vAlign w:val="center"/>
          </w:tcPr>
          <w:p>
            <w:pPr>
              <w:spacing w:after="40"/>
            </w:pPr>
            <w:r>
              <w:rPr>
                <w:rFonts w:ascii="Arial" w:hAnsi="Arial"/>
                <w:sz w:val="17"/>
              </w:rPr>
            </w:r>
            <w:r>
              <w:rPr>
                <w:rFonts w:ascii="Arial" w:hAnsi="Arial"/>
                <w:b w:val="0"/>
                <w:sz w:val="17"/>
              </w:rPr>
              <w:t>https://www.thefoodcorridor.com/</w:t>
            </w:r>
          </w:p>
        </w:tc>
      </w:tr>
      <w:tr>
        <w:tc>
          <w:tcPr>
            <w:tcW w:type="dxa" w:w="3360"/>
            <w:vAlign w:val="center"/>
          </w:tcPr>
          <w:p>
            <w:pPr>
              <w:spacing w:after="40"/>
            </w:pPr>
            <w:r>
              <w:rPr>
                <w:rFonts w:ascii="Arial" w:hAnsi="Arial"/>
                <w:sz w:val="17"/>
              </w:rPr>
            </w:r>
            <w:r>
              <w:rPr>
                <w:rFonts w:ascii="Arial" w:hAnsi="Arial"/>
                <w:b w:val="0"/>
                <w:sz w:val="17"/>
              </w:rPr>
              <w:t>La Cocina Program Model</w:t>
            </w:r>
          </w:p>
        </w:tc>
        <w:tc>
          <w:tcPr>
            <w:tcW w:type="dxa" w:w="3360"/>
            <w:vAlign w:val="center"/>
          </w:tcPr>
          <w:p>
            <w:pPr>
              <w:spacing w:after="40"/>
            </w:pPr>
            <w:r>
              <w:rPr>
                <w:rFonts w:ascii="Arial" w:hAnsi="Arial"/>
                <w:sz w:val="17"/>
              </w:rPr>
            </w:r>
            <w:r>
              <w:rPr>
                <w:rFonts w:ascii="Arial" w:hAnsi="Arial"/>
                <w:b w:val="0"/>
                <w:sz w:val="17"/>
              </w:rPr>
              <w:t>Incubator lifecycle reference for application, pre-incubation, incubation, graduation, and alumni support.</w:t>
            </w:r>
          </w:p>
        </w:tc>
        <w:tc>
          <w:tcPr>
            <w:tcW w:type="dxa" w:w="3360"/>
            <w:vAlign w:val="center"/>
          </w:tcPr>
          <w:p>
            <w:pPr>
              <w:spacing w:after="40"/>
            </w:pPr>
            <w:r>
              <w:rPr>
                <w:rFonts w:ascii="Arial" w:hAnsi="Arial"/>
                <w:sz w:val="17"/>
              </w:rPr>
            </w:r>
            <w:r>
              <w:rPr>
                <w:rFonts w:ascii="Arial" w:hAnsi="Arial"/>
                <w:b w:val="0"/>
                <w:sz w:val="17"/>
              </w:rPr>
              <w:t>https://www.lacocinasf.org/how-the-program-works/</w:t>
            </w:r>
          </w:p>
        </w:tc>
      </w:tr>
    </w:tbl>
    <w:p/>
    <w:p>
      <w:pPr>
        <w:pStyle w:val="Heading2"/>
      </w:pPr>
      <w:r>
        <w:t>New Mexico / Las Cruces Compliance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rFonts w:ascii="Arial" w:hAnsi="Arial"/>
                <w:sz w:val="17"/>
              </w:rPr>
            </w:r>
            <w:r>
              <w:rPr>
                <w:rFonts w:ascii="Arial" w:hAnsi="Arial"/>
                <w:b/>
                <w:color w:val="FFFFFF"/>
                <w:sz w:val="17"/>
              </w:rPr>
              <w:t>Source</w:t>
            </w:r>
          </w:p>
        </w:tc>
        <w:tc>
          <w:tcPr>
            <w:tcW w:type="dxa" w:w="3360"/>
            <w:vAlign w:val="center"/>
            <w:shd w:fill="1F4E5F"/>
          </w:tcPr>
          <w:p>
            <w:pPr>
              <w:spacing w:after="40"/>
            </w:pPr>
            <w:r>
              <w:rPr>
                <w:rFonts w:ascii="Arial" w:hAnsi="Arial"/>
                <w:sz w:val="17"/>
              </w:rPr>
            </w:r>
            <w:r>
              <w:rPr>
                <w:rFonts w:ascii="Arial" w:hAnsi="Arial"/>
                <w:b/>
                <w:color w:val="FFFFFF"/>
                <w:sz w:val="17"/>
              </w:rPr>
              <w:t>Use in Manual</w:t>
            </w:r>
          </w:p>
        </w:tc>
        <w:tc>
          <w:tcPr>
            <w:tcW w:type="dxa" w:w="3360"/>
            <w:vAlign w:val="center"/>
            <w:shd w:fill="1F4E5F"/>
          </w:tcPr>
          <w:p>
            <w:pPr>
              <w:spacing w:after="40"/>
            </w:pPr>
            <w:r>
              <w:rPr>
                <w:rFonts w:ascii="Arial" w:hAnsi="Arial"/>
                <w:sz w:val="17"/>
              </w:rPr>
            </w:r>
            <w:r>
              <w:rPr>
                <w:rFonts w:ascii="Arial" w:hAnsi="Arial"/>
                <w:b/>
                <w:color w:val="FFFFFF"/>
                <w:sz w:val="17"/>
              </w:rPr>
              <w:t>URL</w:t>
            </w:r>
          </w:p>
        </w:tc>
      </w:tr>
      <w:tr>
        <w:tc>
          <w:tcPr>
            <w:tcW w:type="dxa" w:w="3360"/>
            <w:vAlign w:val="center"/>
          </w:tcPr>
          <w:p>
            <w:pPr>
              <w:spacing w:after="40"/>
            </w:pPr>
            <w:r>
              <w:rPr>
                <w:rFonts w:ascii="Arial" w:hAnsi="Arial"/>
                <w:sz w:val="17"/>
              </w:rPr>
            </w:r>
            <w:r>
              <w:rPr>
                <w:rFonts w:ascii="Arial" w:hAnsi="Arial"/>
                <w:b w:val="0"/>
                <w:sz w:val="17"/>
              </w:rPr>
              <w:t>NMED Food Program</w:t>
            </w:r>
          </w:p>
        </w:tc>
        <w:tc>
          <w:tcPr>
            <w:tcW w:type="dxa" w:w="3360"/>
            <w:vAlign w:val="center"/>
          </w:tcPr>
          <w:p>
            <w:pPr>
              <w:spacing w:after="40"/>
            </w:pPr>
            <w:r>
              <w:rPr>
                <w:rFonts w:ascii="Arial" w:hAnsi="Arial"/>
                <w:sz w:val="17"/>
              </w:rPr>
            </w:r>
            <w:r>
              <w:rPr>
                <w:rFonts w:ascii="Arial" w:hAnsi="Arial"/>
                <w:b w:val="0"/>
                <w:sz w:val="17"/>
              </w:rPr>
              <w:t>New Mexico food permitting, food handler/manager resources, retail food program guidance, and plan-review entry point.</w:t>
            </w:r>
          </w:p>
        </w:tc>
        <w:tc>
          <w:tcPr>
            <w:tcW w:type="dxa" w:w="3360"/>
            <w:vAlign w:val="center"/>
          </w:tcPr>
          <w:p>
            <w:pPr>
              <w:spacing w:after="40"/>
            </w:pPr>
            <w:r>
              <w:rPr>
                <w:rFonts w:ascii="Arial" w:hAnsi="Arial"/>
                <w:sz w:val="17"/>
              </w:rPr>
            </w:r>
            <w:r>
              <w:rPr>
                <w:rFonts w:ascii="Arial" w:hAnsi="Arial"/>
                <w:b w:val="0"/>
                <w:sz w:val="17"/>
              </w:rPr>
              <w:t>https://www.env.nm.gov/foodprogram/</w:t>
            </w:r>
          </w:p>
        </w:tc>
      </w:tr>
      <w:tr>
        <w:tc>
          <w:tcPr>
            <w:tcW w:type="dxa" w:w="3360"/>
            <w:vAlign w:val="center"/>
          </w:tcPr>
          <w:p>
            <w:pPr>
              <w:spacing w:after="40"/>
            </w:pPr>
            <w:r>
              <w:rPr>
                <w:rFonts w:ascii="Arial" w:hAnsi="Arial"/>
                <w:sz w:val="17"/>
              </w:rPr>
            </w:r>
            <w:r>
              <w:rPr>
                <w:rFonts w:ascii="Arial" w:hAnsi="Arial"/>
                <w:b w:val="0"/>
                <w:sz w:val="17"/>
              </w:rPr>
              <w:t>7.6.2 NMAC Food Service and Food Processing</w:t>
            </w:r>
          </w:p>
        </w:tc>
        <w:tc>
          <w:tcPr>
            <w:tcW w:type="dxa" w:w="3360"/>
            <w:vAlign w:val="center"/>
          </w:tcPr>
          <w:p>
            <w:pPr>
              <w:spacing w:after="40"/>
            </w:pPr>
            <w:r>
              <w:rPr>
                <w:rFonts w:ascii="Arial" w:hAnsi="Arial"/>
                <w:sz w:val="17"/>
              </w:rPr>
            </w:r>
            <w:r>
              <w:rPr>
                <w:rFonts w:ascii="Arial" w:hAnsi="Arial"/>
                <w:b w:val="0"/>
                <w:sz w:val="17"/>
              </w:rPr>
              <w:t>New Mexico food-service and food-processing rule chapter; includes retail food establishment, mobile food establishment, manufactured food, and related requirements.</w:t>
            </w:r>
          </w:p>
        </w:tc>
        <w:tc>
          <w:tcPr>
            <w:tcW w:type="dxa" w:w="3360"/>
            <w:vAlign w:val="center"/>
          </w:tcPr>
          <w:p>
            <w:pPr>
              <w:spacing w:after="40"/>
            </w:pPr>
            <w:r>
              <w:rPr>
                <w:rFonts w:ascii="Arial" w:hAnsi="Arial"/>
                <w:sz w:val="17"/>
              </w:rPr>
            </w:r>
            <w:r>
              <w:rPr>
                <w:rFonts w:ascii="Arial" w:hAnsi="Arial"/>
                <w:b w:val="0"/>
                <w:sz w:val="17"/>
              </w:rPr>
              <w:t>https://state-rules.com/new-mexico/nmac/7.6.2/</w:t>
            </w:r>
          </w:p>
        </w:tc>
      </w:tr>
      <w:tr>
        <w:tc>
          <w:tcPr>
            <w:tcW w:type="dxa" w:w="3360"/>
            <w:vAlign w:val="center"/>
          </w:tcPr>
          <w:p>
            <w:pPr>
              <w:spacing w:after="40"/>
            </w:pPr>
            <w:r>
              <w:rPr>
                <w:rFonts w:ascii="Arial" w:hAnsi="Arial"/>
                <w:sz w:val="17"/>
              </w:rPr>
            </w:r>
            <w:r>
              <w:rPr>
                <w:rFonts w:ascii="Arial" w:hAnsi="Arial"/>
                <w:b w:val="0"/>
                <w:sz w:val="17"/>
              </w:rPr>
              <w:t>7.6.2.8 NMAC Food Establishments</w:t>
            </w:r>
          </w:p>
        </w:tc>
        <w:tc>
          <w:tcPr>
            <w:tcW w:type="dxa" w:w="3360"/>
            <w:vAlign w:val="center"/>
          </w:tcPr>
          <w:p>
            <w:pPr>
              <w:spacing w:after="40"/>
            </w:pPr>
            <w:r>
              <w:rPr>
                <w:rFonts w:ascii="Arial" w:hAnsi="Arial"/>
                <w:sz w:val="17"/>
              </w:rPr>
            </w:r>
            <w:r>
              <w:rPr>
                <w:rFonts w:ascii="Arial" w:hAnsi="Arial"/>
                <w:b w:val="0"/>
                <w:sz w:val="17"/>
              </w:rPr>
              <w:t>New Mexico food-establishment rule incorporating the 2017 FDA Food Code with state modifications and addressing certified food protection manager/food handler documentation.</w:t>
            </w:r>
          </w:p>
        </w:tc>
        <w:tc>
          <w:tcPr>
            <w:tcW w:type="dxa" w:w="3360"/>
            <w:vAlign w:val="center"/>
          </w:tcPr>
          <w:p>
            <w:pPr>
              <w:spacing w:after="40"/>
            </w:pPr>
            <w:r>
              <w:rPr>
                <w:rFonts w:ascii="Arial" w:hAnsi="Arial"/>
                <w:sz w:val="17"/>
              </w:rPr>
            </w:r>
            <w:r>
              <w:rPr>
                <w:rFonts w:ascii="Arial" w:hAnsi="Arial"/>
                <w:b w:val="0"/>
                <w:sz w:val="17"/>
              </w:rPr>
              <w:t>https://www.law.cornell.edu/regulations/new-mexico/7-6-2-8-NMAC</w:t>
            </w:r>
          </w:p>
        </w:tc>
      </w:tr>
      <w:tr>
        <w:tc>
          <w:tcPr>
            <w:tcW w:type="dxa" w:w="3360"/>
            <w:vAlign w:val="center"/>
          </w:tcPr>
          <w:p>
            <w:pPr>
              <w:spacing w:after="40"/>
            </w:pPr>
            <w:r>
              <w:rPr>
                <w:rFonts w:ascii="Arial" w:hAnsi="Arial"/>
                <w:sz w:val="17"/>
              </w:rPr>
            </w:r>
            <w:r>
              <w:rPr>
                <w:rFonts w:ascii="Arial" w:hAnsi="Arial"/>
                <w:b w:val="0"/>
                <w:sz w:val="17"/>
              </w:rPr>
              <w:t>7.6.2.9 NMAC Mobile Food Establishments</w:t>
            </w:r>
          </w:p>
        </w:tc>
        <w:tc>
          <w:tcPr>
            <w:tcW w:type="dxa" w:w="3360"/>
            <w:vAlign w:val="center"/>
          </w:tcPr>
          <w:p>
            <w:pPr>
              <w:spacing w:after="40"/>
            </w:pPr>
            <w:r>
              <w:rPr>
                <w:rFonts w:ascii="Arial" w:hAnsi="Arial"/>
                <w:sz w:val="17"/>
              </w:rPr>
            </w:r>
            <w:r>
              <w:rPr>
                <w:rFonts w:ascii="Arial" w:hAnsi="Arial"/>
                <w:b w:val="0"/>
                <w:sz w:val="17"/>
              </w:rPr>
              <w:t>New Mexico mobile food establishment requirements for mobile units and related operating controls.</w:t>
            </w:r>
          </w:p>
        </w:tc>
        <w:tc>
          <w:tcPr>
            <w:tcW w:type="dxa" w:w="3360"/>
            <w:vAlign w:val="center"/>
          </w:tcPr>
          <w:p>
            <w:pPr>
              <w:spacing w:after="40"/>
            </w:pPr>
            <w:r>
              <w:rPr>
                <w:rFonts w:ascii="Arial" w:hAnsi="Arial"/>
                <w:sz w:val="17"/>
              </w:rPr>
            </w:r>
            <w:r>
              <w:rPr>
                <w:rFonts w:ascii="Arial" w:hAnsi="Arial"/>
                <w:b w:val="0"/>
                <w:sz w:val="17"/>
              </w:rPr>
              <w:t>https://www.law.cornell.edu/regulations/new-mexico/N-M-Admin-Code-SS-7.6.2.9</w:t>
            </w:r>
          </w:p>
        </w:tc>
      </w:tr>
      <w:tr>
        <w:tc>
          <w:tcPr>
            <w:tcW w:type="dxa" w:w="3360"/>
            <w:vAlign w:val="center"/>
          </w:tcPr>
          <w:p>
            <w:pPr>
              <w:spacing w:after="40"/>
            </w:pPr>
            <w:r>
              <w:rPr>
                <w:rFonts w:ascii="Arial" w:hAnsi="Arial"/>
                <w:sz w:val="17"/>
              </w:rPr>
            </w:r>
            <w:r>
              <w:rPr>
                <w:rFonts w:ascii="Arial" w:hAnsi="Arial"/>
                <w:b w:val="0"/>
                <w:sz w:val="17"/>
              </w:rPr>
              <w:t>7.6.2.11 NMAC Manufactured Food</w:t>
            </w:r>
          </w:p>
        </w:tc>
        <w:tc>
          <w:tcPr>
            <w:tcW w:type="dxa" w:w="3360"/>
            <w:vAlign w:val="center"/>
          </w:tcPr>
          <w:p>
            <w:pPr>
              <w:spacing w:after="40"/>
            </w:pPr>
            <w:r>
              <w:rPr>
                <w:rFonts w:ascii="Arial" w:hAnsi="Arial"/>
                <w:sz w:val="17"/>
              </w:rPr>
            </w:r>
            <w:r>
              <w:rPr>
                <w:rFonts w:ascii="Arial" w:hAnsi="Arial"/>
                <w:b w:val="0"/>
                <w:sz w:val="17"/>
              </w:rPr>
              <w:t>New Mexico manufactured/packaged-food rule context, including packaged food and recall authority.</w:t>
            </w:r>
          </w:p>
        </w:tc>
        <w:tc>
          <w:tcPr>
            <w:tcW w:type="dxa" w:w="3360"/>
            <w:vAlign w:val="center"/>
          </w:tcPr>
          <w:p>
            <w:pPr>
              <w:spacing w:after="40"/>
            </w:pPr>
            <w:r>
              <w:rPr>
                <w:rFonts w:ascii="Arial" w:hAnsi="Arial"/>
                <w:sz w:val="17"/>
              </w:rPr>
            </w:r>
            <w:r>
              <w:rPr>
                <w:rFonts w:ascii="Arial" w:hAnsi="Arial"/>
                <w:b w:val="0"/>
                <w:sz w:val="17"/>
              </w:rPr>
              <w:t>https://www.law.cornell.edu/regulations/new-mexico/N-M-Admin-Code-SS-7.6.2.11</w:t>
            </w:r>
          </w:p>
        </w:tc>
      </w:tr>
      <w:tr>
        <w:tc>
          <w:tcPr>
            <w:tcW w:type="dxa" w:w="3360"/>
            <w:vAlign w:val="center"/>
          </w:tcPr>
          <w:p>
            <w:pPr>
              <w:spacing w:after="40"/>
            </w:pPr>
            <w:r>
              <w:rPr>
                <w:rFonts w:ascii="Arial" w:hAnsi="Arial"/>
                <w:sz w:val="17"/>
              </w:rPr>
            </w:r>
            <w:r>
              <w:rPr>
                <w:rFonts w:ascii="Arial" w:hAnsi="Arial"/>
                <w:b w:val="0"/>
                <w:sz w:val="17"/>
              </w:rPr>
              <w:t>New Mexico Homemade Food Act</w:t>
            </w:r>
          </w:p>
        </w:tc>
        <w:tc>
          <w:tcPr>
            <w:tcW w:type="dxa" w:w="3360"/>
            <w:vAlign w:val="center"/>
          </w:tcPr>
          <w:p>
            <w:pPr>
              <w:spacing w:after="40"/>
            </w:pPr>
            <w:r>
              <w:rPr>
                <w:rFonts w:ascii="Arial" w:hAnsi="Arial"/>
                <w:sz w:val="17"/>
              </w:rPr>
            </w:r>
            <w:r>
              <w:rPr>
                <w:rFonts w:ascii="Arial" w:hAnsi="Arial"/>
                <w:b w:val="0"/>
                <w:sz w:val="17"/>
              </w:rPr>
              <w:t>Limits for homemade food sales; useful to clarify that cottage/home production is not a substitute for commercial kitchen production for restaurant or wholesale use.</w:t>
            </w:r>
          </w:p>
        </w:tc>
        <w:tc>
          <w:tcPr>
            <w:tcW w:type="dxa" w:w="3360"/>
            <w:vAlign w:val="center"/>
          </w:tcPr>
          <w:p>
            <w:pPr>
              <w:spacing w:after="40"/>
            </w:pPr>
            <w:r>
              <w:rPr>
                <w:rFonts w:ascii="Arial" w:hAnsi="Arial"/>
                <w:sz w:val="17"/>
              </w:rPr>
            </w:r>
            <w:r>
              <w:rPr>
                <w:rFonts w:ascii="Arial" w:hAnsi="Arial"/>
                <w:b w:val="0"/>
                <w:sz w:val="17"/>
              </w:rPr>
              <w:t>https://law.justia.com/codes/new-mexico/chapter-25/article-12/section-25-12-3/</w:t>
            </w:r>
          </w:p>
        </w:tc>
      </w:tr>
      <w:tr>
        <w:tc>
          <w:tcPr>
            <w:tcW w:type="dxa" w:w="3360"/>
            <w:vAlign w:val="center"/>
          </w:tcPr>
          <w:p>
            <w:pPr>
              <w:spacing w:after="40"/>
            </w:pPr>
            <w:r>
              <w:rPr>
                <w:rFonts w:ascii="Arial" w:hAnsi="Arial"/>
                <w:sz w:val="17"/>
              </w:rPr>
            </w:r>
            <w:r>
              <w:rPr>
                <w:rFonts w:ascii="Arial" w:hAnsi="Arial"/>
                <w:b w:val="0"/>
                <w:sz w:val="17"/>
              </w:rPr>
              <w:t>NM Taxation and Revenue Business Registration</w:t>
            </w:r>
          </w:p>
        </w:tc>
        <w:tc>
          <w:tcPr>
            <w:tcW w:type="dxa" w:w="3360"/>
            <w:vAlign w:val="center"/>
          </w:tcPr>
          <w:p>
            <w:pPr>
              <w:spacing w:after="40"/>
            </w:pPr>
            <w:r>
              <w:rPr>
                <w:rFonts w:ascii="Arial" w:hAnsi="Arial"/>
                <w:sz w:val="17"/>
              </w:rPr>
            </w:r>
            <w:r>
              <w:rPr>
                <w:rFonts w:ascii="Arial" w:hAnsi="Arial"/>
                <w:b w:val="0"/>
                <w:sz w:val="17"/>
              </w:rPr>
              <w:t>Business registration and gross receipts tax planning reference.</w:t>
            </w:r>
          </w:p>
        </w:tc>
        <w:tc>
          <w:tcPr>
            <w:tcW w:type="dxa" w:w="3360"/>
            <w:vAlign w:val="center"/>
          </w:tcPr>
          <w:p>
            <w:pPr>
              <w:spacing w:after="40"/>
            </w:pPr>
            <w:r>
              <w:rPr>
                <w:rFonts w:ascii="Arial" w:hAnsi="Arial"/>
                <w:sz w:val="17"/>
              </w:rPr>
            </w:r>
            <w:r>
              <w:rPr>
                <w:rFonts w:ascii="Arial" w:hAnsi="Arial"/>
                <w:b w:val="0"/>
                <w:sz w:val="17"/>
              </w:rPr>
              <w:t>https://www.tax.newmexico.gov/businesses/who-must-register-a-business/</w:t>
            </w:r>
          </w:p>
        </w:tc>
      </w:tr>
      <w:tr>
        <w:tc>
          <w:tcPr>
            <w:tcW w:type="dxa" w:w="3360"/>
            <w:vAlign w:val="center"/>
          </w:tcPr>
          <w:p>
            <w:pPr>
              <w:spacing w:after="40"/>
            </w:pPr>
            <w:r>
              <w:rPr>
                <w:rFonts w:ascii="Arial" w:hAnsi="Arial"/>
                <w:sz w:val="17"/>
              </w:rPr>
            </w:r>
            <w:r>
              <w:rPr>
                <w:rFonts w:ascii="Arial" w:hAnsi="Arial"/>
                <w:b w:val="0"/>
                <w:sz w:val="17"/>
              </w:rPr>
              <w:t>Las Cruces Business Registration</w:t>
            </w:r>
          </w:p>
        </w:tc>
        <w:tc>
          <w:tcPr>
            <w:tcW w:type="dxa" w:w="3360"/>
            <w:vAlign w:val="center"/>
          </w:tcPr>
          <w:p>
            <w:pPr>
              <w:spacing w:after="40"/>
            </w:pPr>
            <w:r>
              <w:rPr>
                <w:rFonts w:ascii="Arial" w:hAnsi="Arial"/>
                <w:sz w:val="17"/>
              </w:rPr>
            </w:r>
            <w:r>
              <w:rPr>
                <w:rFonts w:ascii="Arial" w:hAnsi="Arial"/>
                <w:b w:val="0"/>
                <w:sz w:val="17"/>
              </w:rPr>
              <w:t>City business registration reference; CRS/business tax registration generally precedes city registration.</w:t>
            </w:r>
          </w:p>
        </w:tc>
        <w:tc>
          <w:tcPr>
            <w:tcW w:type="dxa" w:w="3360"/>
            <w:vAlign w:val="center"/>
          </w:tcPr>
          <w:p>
            <w:pPr>
              <w:spacing w:after="40"/>
            </w:pPr>
            <w:r>
              <w:rPr>
                <w:rFonts w:ascii="Arial" w:hAnsi="Arial"/>
                <w:sz w:val="17"/>
              </w:rPr>
            </w:r>
            <w:r>
              <w:rPr>
                <w:rFonts w:ascii="Arial" w:hAnsi="Arial"/>
                <w:b w:val="0"/>
                <w:sz w:val="17"/>
              </w:rPr>
              <w:t>https://www.lascruces.org/business-registration/</w:t>
            </w:r>
          </w:p>
        </w:tc>
      </w:tr>
      <w:tr>
        <w:tc>
          <w:tcPr>
            <w:tcW w:type="dxa" w:w="3360"/>
            <w:vAlign w:val="center"/>
          </w:tcPr>
          <w:p>
            <w:pPr>
              <w:spacing w:after="40"/>
            </w:pPr>
            <w:r>
              <w:rPr>
                <w:rFonts w:ascii="Arial" w:hAnsi="Arial"/>
                <w:sz w:val="17"/>
              </w:rPr>
            </w:r>
            <w:r>
              <w:rPr>
                <w:rFonts w:ascii="Arial" w:hAnsi="Arial"/>
                <w:b w:val="0"/>
                <w:sz w:val="17"/>
              </w:rPr>
              <w:t>Realize Las Cruces Development Code</w:t>
            </w:r>
          </w:p>
        </w:tc>
        <w:tc>
          <w:tcPr>
            <w:tcW w:type="dxa" w:w="3360"/>
            <w:vAlign w:val="center"/>
          </w:tcPr>
          <w:p>
            <w:pPr>
              <w:spacing w:after="40"/>
            </w:pPr>
            <w:r>
              <w:rPr>
                <w:rFonts w:ascii="Arial" w:hAnsi="Arial"/>
                <w:sz w:val="17"/>
              </w:rPr>
            </w:r>
            <w:r>
              <w:rPr>
                <w:rFonts w:ascii="Arial" w:hAnsi="Arial"/>
                <w:b w:val="0"/>
                <w:sz w:val="17"/>
              </w:rPr>
              <w:t>Las Cruces 2025 development code/zoning update reference; parcel-level zoning and site approvals must be confirmed.</w:t>
            </w:r>
          </w:p>
        </w:tc>
        <w:tc>
          <w:tcPr>
            <w:tcW w:type="dxa" w:w="3360"/>
            <w:vAlign w:val="center"/>
          </w:tcPr>
          <w:p>
            <w:pPr>
              <w:spacing w:after="40"/>
            </w:pPr>
            <w:r>
              <w:rPr>
                <w:rFonts w:ascii="Arial" w:hAnsi="Arial"/>
                <w:sz w:val="17"/>
              </w:rPr>
            </w:r>
            <w:r>
              <w:rPr>
                <w:rFonts w:ascii="Arial" w:hAnsi="Arial"/>
                <w:b w:val="0"/>
                <w:sz w:val="17"/>
              </w:rPr>
              <w:t>https://lascruces.gov/city-council-approves-realize-las-cruces-development-code/</w:t>
            </w:r>
          </w:p>
        </w:tc>
      </w:tr>
      <w:tr>
        <w:tc>
          <w:tcPr>
            <w:tcW w:type="dxa" w:w="3360"/>
            <w:vAlign w:val="center"/>
          </w:tcPr>
          <w:p>
            <w:pPr>
              <w:spacing w:after="40"/>
            </w:pPr>
            <w:r>
              <w:rPr>
                <w:rFonts w:ascii="Arial" w:hAnsi="Arial"/>
                <w:sz w:val="17"/>
              </w:rPr>
            </w:r>
            <w:r>
              <w:rPr>
                <w:rFonts w:ascii="Arial" w:hAnsi="Arial"/>
                <w:b w:val="0"/>
                <w:sz w:val="17"/>
              </w:rPr>
              <w:t>NM Business Portal Liquor Licenses</w:t>
            </w:r>
          </w:p>
        </w:tc>
        <w:tc>
          <w:tcPr>
            <w:tcW w:type="dxa" w:w="3360"/>
            <w:vAlign w:val="center"/>
          </w:tcPr>
          <w:p>
            <w:pPr>
              <w:spacing w:after="40"/>
            </w:pPr>
            <w:r>
              <w:rPr>
                <w:rFonts w:ascii="Arial" w:hAnsi="Arial"/>
                <w:sz w:val="17"/>
              </w:rPr>
            </w:r>
            <w:r>
              <w:rPr>
                <w:rFonts w:ascii="Arial" w:hAnsi="Arial"/>
                <w:b w:val="0"/>
                <w:sz w:val="17"/>
              </w:rPr>
              <w:t>New Mexico alcohol licensing reference for restaurant, dispenser, winegrower, and event/public celebration license pathways.</w:t>
            </w:r>
          </w:p>
        </w:tc>
        <w:tc>
          <w:tcPr>
            <w:tcW w:type="dxa" w:w="3360"/>
            <w:vAlign w:val="center"/>
          </w:tcPr>
          <w:p>
            <w:pPr>
              <w:spacing w:after="40"/>
            </w:pPr>
            <w:r>
              <w:rPr>
                <w:rFonts w:ascii="Arial" w:hAnsi="Arial"/>
                <w:sz w:val="17"/>
              </w:rPr>
            </w:r>
            <w:r>
              <w:rPr>
                <w:rFonts w:ascii="Arial" w:hAnsi="Arial"/>
                <w:b w:val="0"/>
                <w:sz w:val="17"/>
              </w:rPr>
              <w:t>https://biz.nm.gov/business-navigator/licenses-and-permits/liquor-licenses/</w:t>
            </w:r>
          </w:p>
        </w:tc>
      </w:tr>
      <w:tr>
        <w:tc>
          <w:tcPr>
            <w:tcW w:type="dxa" w:w="3360"/>
            <w:vAlign w:val="center"/>
          </w:tcPr>
          <w:p>
            <w:pPr>
              <w:spacing w:after="40"/>
            </w:pPr>
            <w:r>
              <w:rPr>
                <w:rFonts w:ascii="Arial" w:hAnsi="Arial"/>
                <w:sz w:val="17"/>
              </w:rPr>
            </w:r>
            <w:r>
              <w:rPr>
                <w:rFonts w:ascii="Arial" w:hAnsi="Arial"/>
                <w:b w:val="0"/>
                <w:sz w:val="17"/>
              </w:rPr>
              <w:t>NMSA 60-6A-11 Winegrower License</w:t>
            </w:r>
          </w:p>
        </w:tc>
        <w:tc>
          <w:tcPr>
            <w:tcW w:type="dxa" w:w="3360"/>
            <w:vAlign w:val="center"/>
          </w:tcPr>
          <w:p>
            <w:pPr>
              <w:spacing w:after="40"/>
            </w:pPr>
            <w:r>
              <w:rPr>
                <w:rFonts w:ascii="Arial" w:hAnsi="Arial"/>
                <w:sz w:val="17"/>
              </w:rPr>
            </w:r>
            <w:r>
              <w:rPr>
                <w:rFonts w:ascii="Arial" w:hAnsi="Arial"/>
                <w:b w:val="0"/>
                <w:sz w:val="17"/>
              </w:rPr>
              <w:t>New Mexico statutory reference relevant to wine/cider production and retail questions; final applicability must be confirmed with ABC/RLD and counsel.</w:t>
            </w:r>
          </w:p>
        </w:tc>
        <w:tc>
          <w:tcPr>
            <w:tcW w:type="dxa" w:w="3360"/>
            <w:vAlign w:val="center"/>
          </w:tcPr>
          <w:p>
            <w:pPr>
              <w:spacing w:after="40"/>
            </w:pPr>
            <w:r>
              <w:rPr>
                <w:rFonts w:ascii="Arial" w:hAnsi="Arial"/>
                <w:sz w:val="17"/>
              </w:rPr>
            </w:r>
            <w:r>
              <w:rPr>
                <w:rFonts w:ascii="Arial" w:hAnsi="Arial"/>
                <w:b w:val="0"/>
                <w:sz w:val="17"/>
              </w:rPr>
              <w:t>https://codes.findlaw.com/nm/chapter-60-business-licenses/nm-st-sect-60-6a-11/</w:t>
            </w:r>
          </w:p>
        </w:tc>
      </w:tr>
      <w:tr>
        <w:tc>
          <w:tcPr>
            <w:tcW w:type="dxa" w:w="3360"/>
            <w:vAlign w:val="center"/>
          </w:tcPr>
          <w:p>
            <w:pPr>
              <w:spacing w:after="40"/>
            </w:pPr>
            <w:r>
              <w:rPr>
                <w:rFonts w:ascii="Arial" w:hAnsi="Arial"/>
                <w:sz w:val="17"/>
              </w:rPr>
            </w:r>
            <w:r>
              <w:rPr>
                <w:rFonts w:ascii="Arial" w:hAnsi="Arial"/>
                <w:b w:val="0"/>
                <w:sz w:val="17"/>
              </w:rPr>
              <w:t>NM Workers' Compensation FAQs</w:t>
            </w:r>
          </w:p>
        </w:tc>
        <w:tc>
          <w:tcPr>
            <w:tcW w:type="dxa" w:w="3360"/>
            <w:vAlign w:val="center"/>
          </w:tcPr>
          <w:p>
            <w:pPr>
              <w:spacing w:after="40"/>
            </w:pPr>
            <w:r>
              <w:rPr>
                <w:rFonts w:ascii="Arial" w:hAnsi="Arial"/>
                <w:sz w:val="17"/>
              </w:rPr>
            </w:r>
            <w:r>
              <w:rPr>
                <w:rFonts w:ascii="Arial" w:hAnsi="Arial"/>
                <w:b w:val="0"/>
                <w:sz w:val="17"/>
              </w:rPr>
              <w:t>Employer coverage planning reference; most New Mexico employers with three or more workers must carry workers' compensation coverage, subject to exceptions.</w:t>
            </w:r>
          </w:p>
        </w:tc>
        <w:tc>
          <w:tcPr>
            <w:tcW w:type="dxa" w:w="3360"/>
            <w:vAlign w:val="center"/>
          </w:tcPr>
          <w:p>
            <w:pPr>
              <w:spacing w:after="40"/>
            </w:pPr>
            <w:r>
              <w:rPr>
                <w:rFonts w:ascii="Arial" w:hAnsi="Arial"/>
                <w:sz w:val="17"/>
              </w:rPr>
            </w:r>
            <w:r>
              <w:rPr>
                <w:rFonts w:ascii="Arial" w:hAnsi="Arial"/>
                <w:b w:val="0"/>
                <w:sz w:val="17"/>
              </w:rPr>
              <w:t>https://www.workerscomp.nm.gov/faqs/</w:t>
            </w:r>
          </w:p>
        </w:tc>
      </w:tr>
      <w:tr>
        <w:tc>
          <w:tcPr>
            <w:tcW w:type="dxa" w:w="3360"/>
            <w:vAlign w:val="center"/>
          </w:tcPr>
          <w:p>
            <w:pPr>
              <w:spacing w:after="0"/>
            </w:pPr>
            <w:r/>
            <w:r>
              <w:rPr>
                <w:rFonts w:ascii="Arial" w:hAnsi="Arial"/>
                <w:b w:val="0"/>
                <w:sz w:val="17"/>
              </w:rPr>
              <w:t>SVEDC - South Valley Economic Development Center</w:t>
            </w:r>
          </w:p>
        </w:tc>
        <w:tc>
          <w:tcPr>
            <w:tcW w:type="dxa" w:w="3360"/>
            <w:vAlign w:val="center"/>
          </w:tcPr>
          <w:p>
            <w:pPr>
              <w:spacing w:after="0"/>
            </w:pPr>
            <w:r/>
            <w:r>
              <w:rPr>
                <w:rFonts w:ascii="Arial" w:hAnsi="Arial"/>
                <w:b w:val="0"/>
                <w:sz w:val="17"/>
              </w:rPr>
              <w:t>New Mexico food business incubation benchmark; public-private nonprofit model, business incubation programs, entrepreneur resources, facility support, partners, and impact metrics.</w:t>
            </w:r>
          </w:p>
        </w:tc>
        <w:tc>
          <w:tcPr>
            <w:tcW w:type="dxa" w:w="3360"/>
            <w:vAlign w:val="center"/>
          </w:tcPr>
          <w:p>
            <w:pPr>
              <w:spacing w:after="0"/>
            </w:pPr>
            <w:r/>
            <w:r>
              <w:rPr>
                <w:rFonts w:ascii="Arial" w:hAnsi="Arial"/>
                <w:b w:val="0"/>
                <w:sz w:val="17"/>
              </w:rPr>
              <w:t>https://www.svedc.org</w:t>
            </w:r>
          </w:p>
        </w:tc>
      </w:tr>
      <w:tr>
        <w:tc>
          <w:tcPr>
            <w:tcW w:type="dxa" w:w="3360"/>
            <w:vAlign w:val="center"/>
          </w:tcPr>
          <w:p>
            <w:pPr>
              <w:spacing w:after="0"/>
            </w:pPr>
            <w:r/>
            <w:r>
              <w:rPr>
                <w:rFonts w:ascii="Arial" w:hAnsi="Arial"/>
                <w:b w:val="0"/>
                <w:sz w:val="17"/>
              </w:rPr>
              <w:t>SVEDC Semilla Program</w:t>
            </w:r>
          </w:p>
        </w:tc>
        <w:tc>
          <w:tcPr>
            <w:tcW w:type="dxa" w:w="3360"/>
            <w:vAlign w:val="center"/>
          </w:tcPr>
          <w:p>
            <w:pPr>
              <w:spacing w:after="0"/>
            </w:pPr>
            <w:r/>
            <w:r>
              <w:rPr>
                <w:rFonts w:ascii="Arial" w:hAnsi="Arial"/>
                <w:b w:val="0"/>
                <w:sz w:val="17"/>
              </w:rPr>
              <w:t>Program design benchmark for early-stage food entrepreneurs: 24-week/6-month Validate, Verify, Launch pathway, 1:1 advising, cohort learning, worksheets, webinars, and product-testing kitchen access.</w:t>
            </w:r>
          </w:p>
        </w:tc>
        <w:tc>
          <w:tcPr>
            <w:tcW w:type="dxa" w:w="3360"/>
            <w:vAlign w:val="center"/>
          </w:tcPr>
          <w:p>
            <w:pPr>
              <w:spacing w:after="0"/>
            </w:pPr>
            <w:r/>
            <w:r>
              <w:rPr>
                <w:rFonts w:ascii="Arial" w:hAnsi="Arial"/>
                <w:b w:val="0"/>
                <w:sz w:val="17"/>
              </w:rPr>
              <w:t>https://www.svedc.org/business-incubation-programs/semilla-program/</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