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320"/>
      </w:pPr>
      <w:r>
        <w:t xml:space="preserve"/>
      </w:r>
    </w:p>
    <w:p>
      <w:pPr>
        <w:spacing w:before="0" w:after="40"/>
        <w:jc w:val="center"/>
      </w:pPr>
      <w:r>
        <w:rPr>
          <w:rFonts w:ascii="Arial" w:cs="Arial" w:eastAsia="Arial" w:hAnsi="Arial"/>
          <w:b/>
          <w:bCs/>
          <w:caps/>
          <w:color w:val="14746F"/>
          <w:sz w:val="24"/>
          <w:szCs w:val="24"/>
        </w:rPr>
        <w:t xml:space="preserve">LAS CRUCES</w:t>
      </w:r>
    </w:p>
    <w:p>
      <w:pPr>
        <w:spacing w:before="0" w:after="60"/>
        <w:jc w:val="center"/>
      </w:pPr>
      <w:r>
        <w:rPr>
          <w:rFonts w:ascii="Arial" w:cs="Arial" w:eastAsia="Arial" w:hAnsi="Arial"/>
          <w:b/>
          <w:bCs/>
          <w:color w:val="1B3A5C"/>
          <w:sz w:val="64"/>
          <w:szCs w:val="64"/>
        </w:rPr>
        <w:t xml:space="preserve">Culinary Innovation Hub</w:t>
      </w:r>
    </w:p>
    <w:p>
      <w:pPr>
        <w:spacing w:before="0" w:after="30"/>
        <w:jc w:val="center"/>
      </w:pPr>
      <w:r>
        <w:rPr>
          <w:rFonts w:ascii="Arial" w:cs="Arial" w:eastAsia="Arial" w:hAnsi="Arial"/>
          <w:color w:val="2563A8"/>
          <w:sz w:val="34"/>
          <w:szCs w:val="34"/>
        </w:rPr>
        <w:t xml:space="preserve">Comprehensive Business Plan</w:t>
      </w:r>
    </w:p>
    <w:p>
      <w:pPr>
        <w:spacing w:before="20" w:after="20"/>
      </w:pPr>
      <w:r>
        <w:t xml:space="preserve"/>
      </w:r>
    </w:p>
    <w:p>
      <w:pPr>
        <w:spacing w:before="0" w:after="16"/>
        <w:jc w:val="center"/>
      </w:pPr>
      <w:r>
        <w:rPr>
          <w:rFonts w:ascii="Arial" w:cs="Arial" w:eastAsia="Arial" w:hAnsi="Arial"/>
          <w:i/>
          <w:iCs/>
          <w:color w:val="555555"/>
          <w:sz w:val="22"/>
          <w:szCs w:val="22"/>
        </w:rPr>
        <w:t xml:space="preserve">A Culinary Incubator | Workforce Development Center | Craft Cider Destination</w:t>
      </w:r>
    </w:p>
    <w:p>
      <w:pPr>
        <w:spacing w:before="0" w:after="16"/>
        <w:jc w:val="center"/>
      </w:pPr>
      <w:r>
        <w:rPr>
          <w:rFonts w:ascii="Arial" w:cs="Arial" w:eastAsia="Arial" w:hAnsi="Arial"/>
          <w:i/>
          <w:iCs/>
          <w:color w:val="555555"/>
          <w:sz w:val="22"/>
          <w:szCs w:val="22"/>
        </w:rPr>
        <w:t xml:space="preserve">for Southern New Mexico</w:t>
      </w:r>
    </w:p>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Document Version</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12.0 -- Complete Edition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Prepared</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April 2026</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Name] | General Engineer | MS Industrial Engineering</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Status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Active -- For Investor &amp; Grant Distribution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Section</w:t>
            </w:r>
          </w:p>
        </w:tc>
        <w:tc>
          <w:tcPr>
            <w:tcW w:type="dxa" w:w="8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Title</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Executive Summary</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 and Cultural Context</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Overview</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Vendor and Incubator Model</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Specialty Craft Cider Bar</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Operations and Licensing</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Financial Snapshot</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Customer Segments and Marketing Strategy</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Comparable Market Analysis</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Impact and Grant Alignment</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Funding Strategy and Capital Stack</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Implementation Roadmap</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Risk Management</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Leadership and Team</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Profile</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Investment Case -- Summary</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Appendix A</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Licensing and Permit Matrix</w:t>
            </w:r>
          </w:p>
        </w:tc>
      </w:tr>
      <w:tr>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Appendix B</w:t>
            </w:r>
          </w:p>
        </w:tc>
        <w:tc>
          <w:tcPr>
            <w:tcW w:type="dxa" w:w="8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Vendor License Agreement Framework</w:t>
            </w:r>
          </w:p>
        </w:tc>
      </w:tr>
      <w:tr>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Appendix C</w:t>
            </w:r>
          </w:p>
        </w:tc>
        <w:tc>
          <w:tcPr>
            <w:tcW w:type="dxa" w:w="8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Loan and Grant Documents Checklist</w:t>
            </w:r>
          </w:p>
        </w:tc>
      </w:tr>
      <w:tr>
        <w:tc>
          <w:tcPr>
            <w:tcW w:type="dxa" w:w="1440"/>
            <w:shd w:fill="EEF4FB" w:val="clear"/>
            <w:tcMar>
              <w:top w:type="dxa" w:w="80"/>
              <w:left w:type="dxa" w:w="130"/>
              <w:bottom w:type="dxa" w:w="80"/>
              <w:right w:type="dxa" w:w="130"/>
            </w:tcMar>
          </w:tcPr>
          <w:p>
            <w:r>
              <w:rPr>
                <w:rFonts w:ascii="Arial" w:hAnsi="Arial"/>
                <w:sz w:val="20"/>
              </w:rPr>
              <w:t>Appendix D</w:t>
            </w:r>
          </w:p>
        </w:tc>
        <w:tc>
          <w:tcPr>
            <w:tcW w:type="dxa" w:w="7920"/>
            <w:shd w:fill="EEF4FB" w:val="clear"/>
            <w:tcMar>
              <w:top w:type="dxa" w:w="80"/>
              <w:left w:type="dxa" w:w="130"/>
              <w:bottom w:type="dxa" w:w="80"/>
              <w:right w:type="dxa" w:w="130"/>
            </w:tcMar>
          </w:tcPr>
          <w:p>
            <w:r>
              <w:rPr>
                <w:rFonts w:ascii="Arial" w:hAnsi="Arial"/>
                <w:sz w:val="20"/>
              </w:rPr>
              <w:t>Food Truck Seating Regulations vs. Food Truck Park Research</w:t>
            </w:r>
          </w:p>
        </w:tc>
      </w:tr>
      <w:tr>
        <w:tc>
          <w:tcPr>
            <w:tcW w:type="dxa" w:w="1440"/>
            <w:shd w:fill="FFFFFF" w:val="clear"/>
            <w:tcMar>
              <w:top w:type="dxa" w:w="80"/>
              <w:left w:type="dxa" w:w="130"/>
              <w:bottom w:type="dxa" w:w="80"/>
              <w:right w:type="dxa" w:w="130"/>
            </w:tcMar>
          </w:tcPr>
          <w:p>
            <w:r>
              <w:rPr>
                <w:rFonts w:ascii="Arial" w:hAnsi="Arial"/>
                <w:sz w:val="20"/>
              </w:rPr>
              <w:t>Appendix E</w:t>
            </w:r>
          </w:p>
        </w:tc>
        <w:tc>
          <w:tcPr>
            <w:tcW w:type="dxa" w:w="7920"/>
            <w:shd w:fill="FFFFFF" w:val="clear"/>
            <w:tcMar>
              <w:top w:type="dxa" w:w="80"/>
              <w:left w:type="dxa" w:w="130"/>
              <w:bottom w:type="dxa" w:w="80"/>
              <w:right w:type="dxa" w:w="130"/>
            </w:tcMar>
          </w:tcPr>
          <w:p>
            <w:r>
              <w:rPr>
                <w:rFonts w:ascii="Arial" w:hAnsi="Arial"/>
                <w:sz w:val="20"/>
              </w:rPr>
              <w:t>City Commercial Kitchen -- Competitive Landscape Analysis</w:t>
            </w:r>
          </w:p>
        </w:tc>
      </w:tr>
      <w:tr>
        <w:tc>
          <w:tcPr>
            <w:tcW w:type="dxa" w:w="1440"/>
            <w:shd w:fill="EEF4FB" w:val="clear"/>
            <w:tcMar>
              <w:top w:type="dxa" w:w="80"/>
              <w:left w:type="dxa" w:w="130"/>
              <w:bottom w:type="dxa" w:w="80"/>
              <w:right w:type="dxa" w:w="130"/>
            </w:tcMar>
          </w:tcPr>
          <w:p>
            <w:r>
              <w:rPr>
                <w:rFonts w:ascii="Arial" w:hAnsi="Arial"/>
                <w:sz w:val="20"/>
              </w:rPr>
              <w:t>Section 17</w:t>
            </w:r>
          </w:p>
        </w:tc>
        <w:tc>
          <w:tcPr>
            <w:tcW w:type="dxa" w:w="7920"/>
            <w:shd w:fill="EEF4FB" w:val="clear"/>
            <w:tcMar>
              <w:top w:type="dxa" w:w="80"/>
              <w:left w:type="dxa" w:w="130"/>
              <w:bottom w:type="dxa" w:w="80"/>
              <w:right w:type="dxa" w:w="130"/>
            </w:tcMar>
          </w:tcPr>
          <w:p>
            <w:r>
              <w:rPr>
                <w:rFonts w:ascii="Arial" w:hAnsi="Arial"/>
                <w:sz w:val="20"/>
              </w:rPr>
              <w:t>West Picacho and Motel Boulevard Metropolitan Redevelopment Area -- Strategic Site Opportunity</w:t>
            </w:r>
          </w:p>
        </w:tc>
      </w:tr>
      <w:tr>
        <w:tc>
          <w:tcPr>
            <w:tcW w:type="dxa" w:w="1440"/>
            <w:shd w:fill="FFFFFF" w:val="clear"/>
            <w:tcMar>
              <w:top w:type="dxa" w:w="80"/>
              <w:left w:type="dxa" w:w="130"/>
              <w:bottom w:type="dxa" w:w="80"/>
              <w:right w:type="dxa" w:w="130"/>
            </w:tcMar>
          </w:tcPr>
          <w:p>
            <w:r>
              <w:rPr>
                <w:rFonts w:ascii="Arial" w:hAnsi="Arial"/>
                <w:sz w:val="20"/>
              </w:rPr>
              <w:t>Supplement A</w:t>
            </w:r>
          </w:p>
        </w:tc>
        <w:tc>
          <w:tcPr>
            <w:tcW w:type="dxa" w:w="7920"/>
            <w:shd w:fill="FFFFFF" w:val="clear"/>
            <w:tcMar>
              <w:top w:type="dxa" w:w="80"/>
              <w:left w:type="dxa" w:w="130"/>
              <w:bottom w:type="dxa" w:w="80"/>
              <w:right w:type="dxa" w:w="130"/>
            </w:tcMar>
          </w:tcPr>
          <w:p>
            <w:r>
              <w:rPr>
                <w:rFonts w:ascii="Arial" w:hAnsi="Arial"/>
                <w:sz w:val="20"/>
              </w:rPr>
              <w:t>Month-by-Month Year 1 Cash Flow Projection</w:t>
            </w:r>
          </w:p>
        </w:tc>
      </w:tr>
      <w:tr>
        <w:tc>
          <w:tcPr>
            <w:tcW w:type="dxa" w:w="1440"/>
            <w:shd w:fill="EEF4FB" w:val="clear"/>
            <w:tcMar>
              <w:top w:type="dxa" w:w="80"/>
              <w:left w:type="dxa" w:w="130"/>
              <w:bottom w:type="dxa" w:w="80"/>
              <w:right w:type="dxa" w:w="130"/>
            </w:tcMar>
          </w:tcPr>
          <w:p>
            <w:r>
              <w:rPr>
                <w:rFonts w:ascii="Arial" w:hAnsi="Arial"/>
                <w:sz w:val="20"/>
              </w:rPr>
              <w:t>Supplement B</w:t>
            </w:r>
          </w:p>
        </w:tc>
        <w:tc>
          <w:tcPr>
            <w:tcW w:type="dxa" w:w="7920"/>
            <w:shd w:fill="EEF4FB" w:val="clear"/>
            <w:tcMar>
              <w:top w:type="dxa" w:w="80"/>
              <w:left w:type="dxa" w:w="130"/>
              <w:bottom w:type="dxa" w:w="80"/>
              <w:right w:type="dxa" w:w="130"/>
            </w:tcMar>
          </w:tcPr>
          <w:p>
            <w:r>
              <w:rPr>
                <w:rFonts w:ascii="Arial" w:hAnsi="Arial"/>
                <w:sz w:val="20"/>
              </w:rPr>
              <w:t>Utility Cost Model -- Desert Climate Reforecast</w:t>
            </w:r>
          </w:p>
        </w:tc>
      </w:tr>
      <w:tr>
        <w:tc>
          <w:tcPr>
            <w:tcW w:type="dxa" w:w="1440"/>
            <w:shd w:fill="FFFFFF" w:val="clear"/>
            <w:tcMar>
              <w:top w:type="dxa" w:w="80"/>
              <w:left w:type="dxa" w:w="130"/>
              <w:bottom w:type="dxa" w:w="80"/>
              <w:right w:type="dxa" w:w="130"/>
            </w:tcMar>
          </w:tcPr>
          <w:p>
            <w:r>
              <w:rPr>
                <w:rFonts w:ascii="Arial" w:hAnsi="Arial"/>
                <w:sz w:val="20"/>
              </w:rPr>
              <w:t>Supplement C</w:t>
            </w:r>
          </w:p>
        </w:tc>
        <w:tc>
          <w:tcPr>
            <w:tcW w:type="dxa" w:w="7920"/>
            <w:shd w:fill="FFFFFF" w:val="clear"/>
            <w:tcMar>
              <w:top w:type="dxa" w:w="80"/>
              <w:left w:type="dxa" w:w="130"/>
              <w:bottom w:type="dxa" w:w="80"/>
              <w:right w:type="dxa" w:w="130"/>
            </w:tcMar>
          </w:tcPr>
          <w:p>
            <w:r>
              <w:rPr>
                <w:rFonts w:ascii="Arial" w:hAnsi="Arial"/>
                <w:sz w:val="20"/>
              </w:rPr>
              <w:t>SBA 7(a) Loan Strategy and Fallback Capital Plan</w:t>
            </w:r>
          </w:p>
        </w:tc>
      </w:tr>
      <w:tr>
        <w:tc>
          <w:tcPr>
            <w:tcW w:type="dxa" w:w="1440"/>
            <w:shd w:fill="EEF4FB" w:val="clear"/>
            <w:tcMar>
              <w:top w:type="dxa" w:w="80"/>
              <w:left w:type="dxa" w:w="130"/>
              <w:bottom w:type="dxa" w:w="80"/>
              <w:right w:type="dxa" w:w="130"/>
            </w:tcMar>
          </w:tcPr>
          <w:p>
            <w:r>
              <w:rPr>
                <w:rFonts w:ascii="Arial" w:hAnsi="Arial"/>
                <w:sz w:val="20"/>
              </w:rPr>
              <w:t>Supplement D</w:t>
            </w:r>
          </w:p>
        </w:tc>
        <w:tc>
          <w:tcPr>
            <w:tcW w:type="dxa" w:w="7920"/>
            <w:shd w:fill="EEF4FB" w:val="clear"/>
            <w:tcMar>
              <w:top w:type="dxa" w:w="80"/>
              <w:left w:type="dxa" w:w="130"/>
              <w:bottom w:type="dxa" w:w="80"/>
              <w:right w:type="dxa" w:w="130"/>
            </w:tcMar>
          </w:tcPr>
          <w:p>
            <w:r>
              <w:rPr>
                <w:rFonts w:ascii="Arial" w:hAnsi="Arial"/>
                <w:sz w:val="20"/>
              </w:rPr>
              <w:t>Legal Entity Structure and Investor Exit Mechanism</w:t>
            </w:r>
          </w:p>
        </w:tc>
      </w:tr>
      <w:tr>
        <w:tc>
          <w:tcPr>
            <w:tcW w:type="dxa" w:w="1440"/>
            <w:shd w:fill="FFFFFF" w:val="clear"/>
            <w:tcMar>
              <w:top w:type="dxa" w:w="80"/>
              <w:left w:type="dxa" w:w="130"/>
              <w:bottom w:type="dxa" w:w="80"/>
              <w:right w:type="dxa" w:w="130"/>
            </w:tcMar>
          </w:tcPr>
          <w:p>
            <w:r>
              <w:rPr>
                <w:rFonts w:ascii="Arial" w:hAnsi="Arial"/>
                <w:sz w:val="20"/>
              </w:rPr>
              <w:t>Supplement E</w:t>
            </w:r>
          </w:p>
        </w:tc>
        <w:tc>
          <w:tcPr>
            <w:tcW w:type="dxa" w:w="7920"/>
            <w:shd w:fill="FFFFFF" w:val="clear"/>
            <w:tcMar>
              <w:top w:type="dxa" w:w="80"/>
              <w:left w:type="dxa" w:w="130"/>
              <w:bottom w:type="dxa" w:w="80"/>
              <w:right w:type="dxa" w:w="130"/>
            </w:tcMar>
          </w:tcPr>
          <w:p>
            <w:r>
              <w:rPr>
                <w:rFonts w:ascii="Arial" w:hAnsi="Arial"/>
                <w:sz w:val="20"/>
              </w:rPr>
              <w:t>Incumbent Restaurant Competitive Landscape</w:t>
            </w:r>
          </w:p>
        </w:tc>
      </w:tr>
      <w:tr>
        <w:tc>
          <w:tcPr>
            <w:tcW w:type="dxa" w:w="1440"/>
            <w:shd w:fill="EEF4FB" w:val="clear"/>
            <w:tcMar>
              <w:top w:type="dxa" w:w="80"/>
              <w:left w:type="dxa" w:w="130"/>
              <w:bottom w:type="dxa" w:w="80"/>
              <w:right w:type="dxa" w:w="130"/>
            </w:tcMar>
          </w:tcPr>
          <w:p>
            <w:r>
              <w:rPr>
                <w:rFonts w:ascii="Arial" w:hAnsi="Arial"/>
                <w:sz w:val="20"/>
              </w:rPr>
              <w:t>Supplement F</w:t>
            </w:r>
          </w:p>
        </w:tc>
        <w:tc>
          <w:tcPr>
            <w:tcW w:type="dxa" w:w="7920"/>
            <w:shd w:fill="EEF4FB" w:val="clear"/>
            <w:tcMar>
              <w:top w:type="dxa" w:w="80"/>
              <w:left w:type="dxa" w:w="130"/>
              <w:bottom w:type="dxa" w:w="80"/>
              <w:right w:type="dxa" w:w="130"/>
            </w:tcMar>
          </w:tcPr>
          <w:p>
            <w:r>
              <w:rPr>
                <w:rFonts w:ascii="Arial" w:hAnsi="Arial"/>
                <w:sz w:val="20"/>
              </w:rPr>
              <w:t>Operational Systems -- Grease Management, POS Selection, and Buildout Timeline</w:t>
            </w:r>
          </w:p>
        </w:tc>
      </w:tr>
      <w:tr>
        <w:tc>
          <w:tcPr>
            <w:tcW w:type="dxa" w:w="1440"/>
            <w:shd w:fill="FFFFFF" w:val="clear"/>
            <w:tcMar>
              <w:top w:type="dxa" w:w="80"/>
              <w:left w:type="dxa" w:w="130"/>
              <w:bottom w:type="dxa" w:w="80"/>
              <w:right w:type="dxa" w:w="130"/>
            </w:tcMar>
          </w:tcPr>
          <w:p>
            <w:r>
              <w:rPr>
                <w:rFonts w:ascii="Arial" w:hAnsi="Arial"/>
                <w:sz w:val="20"/>
              </w:rPr>
              <w:t>Supplement G</w:t>
            </w:r>
          </w:p>
        </w:tc>
        <w:tc>
          <w:tcPr>
            <w:tcW w:type="dxa" w:w="7920"/>
            <w:shd w:fill="FFFFFF" w:val="clear"/>
            <w:tcMar>
              <w:top w:type="dxa" w:w="80"/>
              <w:left w:type="dxa" w:w="130"/>
              <w:bottom w:type="dxa" w:w="80"/>
              <w:right w:type="dxa" w:w="130"/>
            </w:tcMar>
          </w:tcPr>
          <w:p>
            <w:r>
              <w:rPr>
                <w:rFonts w:ascii="Arial" w:hAnsi="Arial"/>
                <w:sz w:val="20"/>
              </w:rPr>
              <w:t>Ghost Kitchen Delivery Model and Platform Strategy</w:t>
            </w:r>
          </w:p>
        </w:tc>
      </w:tr>
      <w:tr>
        <w:tc>
          <w:tcPr>
            <w:tcW w:type="dxa" w:w="1440"/>
            <w:shd w:fill="EEF4FB" w:val="clear"/>
            <w:tcMar>
              <w:top w:type="dxa" w:w="80"/>
              <w:left w:type="dxa" w:w="130"/>
              <w:bottom w:type="dxa" w:w="80"/>
              <w:right w:type="dxa" w:w="130"/>
            </w:tcMar>
          </w:tcPr>
          <w:p>
            <w:r>
              <w:rPr>
                <w:rFonts w:ascii="Arial" w:hAnsi="Arial"/>
                <w:sz w:val="20"/>
              </w:rPr>
              <w:t>Supplement H</w:t>
            </w:r>
          </w:p>
        </w:tc>
        <w:tc>
          <w:tcPr>
            <w:tcW w:type="dxa" w:w="7920"/>
            <w:shd w:fill="EEF4FB" w:val="clear"/>
            <w:tcMar>
              <w:top w:type="dxa" w:w="80"/>
              <w:left w:type="dxa" w:w="130"/>
              <w:bottom w:type="dxa" w:w="80"/>
              <w:right w:type="dxa" w:w="130"/>
            </w:tcMar>
          </w:tcPr>
          <w:p>
            <w:r>
              <w:rPr>
                <w:rFonts w:ascii="Arial" w:hAnsi="Arial"/>
                <w:sz w:val="20"/>
              </w:rPr>
              <w:t>Vendor Letter of Intent Framework and Pipeline Status</w:t>
            </w:r>
          </w:p>
        </w:tc>
      </w:tr>
      <w:tr>
        <w:tc>
          <w:tcPr>
            <w:tcW w:type="dxa" w:w="1440"/>
            <w:shd w:fill="FFFFFF" w:val="clear"/>
            <w:tcMar>
              <w:top w:type="dxa" w:w="80"/>
              <w:left w:type="dxa" w:w="130"/>
              <w:bottom w:type="dxa" w:w="80"/>
              <w:right w:type="dxa" w:w="130"/>
            </w:tcMar>
          </w:tcPr>
          <w:p>
            <w:r>
              <w:rPr>
                <w:rFonts w:ascii="Arial" w:hAnsi="Arial"/>
                <w:sz w:val="20"/>
              </w:rPr>
              <w:t>Supplement I</w:t>
            </w:r>
          </w:p>
        </w:tc>
        <w:tc>
          <w:tcPr>
            <w:tcW w:type="dxa" w:w="7920"/>
            <w:shd w:fill="FFFFFF" w:val="clear"/>
            <w:tcMar>
              <w:top w:type="dxa" w:w="80"/>
              <w:left w:type="dxa" w:w="130"/>
              <w:bottom w:type="dxa" w:w="80"/>
              <w:right w:type="dxa" w:w="130"/>
            </w:tcMar>
          </w:tcPr>
          <w:p>
            <w:r>
              <w:rPr>
                <w:rFonts w:ascii="Arial" w:hAnsi="Arial"/>
                <w:sz w:val="20"/>
              </w:rPr>
              <w:t>Break-Even Sensitivity Analysis</w:t>
            </w:r>
          </w:p>
        </w:tc>
      </w:tr>
      <w:tr>
        <w:tc>
          <w:tcPr>
            <w:tcW w:type="dxa" w:w="1440"/>
            <w:shd w:fill="EEF4FB" w:val="clear"/>
            <w:tcMar>
              <w:top w:type="dxa" w:w="80"/>
              <w:left w:type="dxa" w:w="130"/>
              <w:bottom w:type="dxa" w:w="80"/>
              <w:right w:type="dxa" w:w="130"/>
            </w:tcMar>
          </w:tcPr>
          <w:p>
            <w:r>
              <w:rPr>
                <w:rFonts w:ascii="Arial" w:hAnsi="Arial"/>
                <w:sz w:val="20"/>
              </w:rPr>
              <w:t>Supplement J</w:t>
            </w:r>
          </w:p>
        </w:tc>
        <w:tc>
          <w:tcPr>
            <w:tcW w:type="dxa" w:w="7920"/>
            <w:shd w:fill="EEF4FB" w:val="clear"/>
            <w:tcMar>
              <w:top w:type="dxa" w:w="80"/>
              <w:left w:type="dxa" w:w="130"/>
              <w:bottom w:type="dxa" w:w="80"/>
              <w:right w:type="dxa" w:w="130"/>
            </w:tcMar>
          </w:tcPr>
          <w:p>
            <w:r>
              <w:rPr>
                <w:rFonts w:ascii="Arial" w:hAnsi="Arial"/>
                <w:sz w:val="20"/>
              </w:rPr>
              <w:t>Insurance Cost Analysis and Coverage Plan</w:t>
            </w:r>
          </w:p>
        </w:tc>
      </w:tr>
      <w:tr>
        <w:tc>
          <w:tcPr>
            <w:tcW w:type="dxa" w:w="1440"/>
            <w:shd w:fill="FFFFFF" w:val="clear"/>
            <w:tcMar>
              <w:top w:type="dxa" w:w="80"/>
              <w:left w:type="dxa" w:w="130"/>
              <w:bottom w:type="dxa" w:w="80"/>
              <w:right w:type="dxa" w:w="130"/>
            </w:tcMar>
          </w:tcPr>
          <w:p>
            <w:r>
              <w:rPr>
                <w:rFonts w:ascii="Arial" w:hAnsi="Arial"/>
                <w:sz w:val="20"/>
              </w:rPr>
              <w:t>Supplement K</w:t>
            </w:r>
          </w:p>
        </w:tc>
        <w:tc>
          <w:tcPr>
            <w:tcW w:type="dxa" w:w="7920"/>
            <w:shd w:fill="FFFFFF" w:val="clear"/>
            <w:tcMar>
              <w:top w:type="dxa" w:w="80"/>
              <w:left w:type="dxa" w:w="130"/>
              <w:bottom w:type="dxa" w:w="80"/>
              <w:right w:type="dxa" w:w="130"/>
            </w:tcMar>
          </w:tcPr>
          <w:p>
            <w:r>
              <w:rPr>
                <w:rFonts w:ascii="Arial" w:hAnsi="Arial"/>
                <w:sz w:val="20"/>
              </w:rPr>
              <w:t>West Picacho MRA -- Site Opportunity Analysis and Financial Incentives</w:t>
            </w:r>
          </w:p>
        </w:tc>
      </w:tr>
      <w:tr>
        <w:tc>
          <w:tcPr>
            <w:tcW w:type="dxa" w:w="1440"/>
            <w:shd w:fill="EEF4FB" w:val="clear"/>
            <w:tcMar>
              <w:top w:type="dxa" w:w="80"/>
              <w:left w:type="dxa" w:w="130"/>
              <w:bottom w:type="dxa" w:w="80"/>
              <w:right w:type="dxa" w:w="130"/>
            </w:tcMar>
          </w:tcPr>
          <w:p>
            <w:r>
              <w:rPr>
                <w:rFonts w:ascii="Arial" w:hAnsi="Arial"/>
                <w:sz w:val="20"/>
              </w:rPr>
              <w:t>Supplement L</w:t>
            </w:r>
          </w:p>
        </w:tc>
        <w:tc>
          <w:tcPr>
            <w:tcW w:type="dxa" w:w="7920"/>
            <w:shd w:fill="EEF4FB" w:val="clear"/>
            <w:tcMar>
              <w:top w:type="dxa" w:w="80"/>
              <w:left w:type="dxa" w:w="130"/>
              <w:bottom w:type="dxa" w:w="80"/>
              <w:right w:type="dxa" w:w="130"/>
            </w:tcMar>
          </w:tcPr>
          <w:p>
            <w:r>
              <w:rPr>
                <w:rFonts w:ascii="Arial" w:hAnsi="Arial"/>
                <w:sz w:val="20"/>
              </w:rPr>
              <w:t>West Picacho MRA -- Market Data, Phasing Model, and Grant Positioning</w:t>
            </w:r>
          </w:p>
        </w:tc>
      </w:tr>
      <w:tr>
        <w:tc>
          <w:tcPr>
            <w:tcW w:type="dxa" w:w="1440"/>
            <w:shd w:fill="FFFFFF" w:val="clear"/>
            <w:tcMar>
              <w:top w:type="dxa" w:w="80"/>
              <w:left w:type="dxa" w:w="130"/>
              <w:bottom w:type="dxa" w:w="80"/>
              <w:right w:type="dxa" w:w="130"/>
            </w:tcMar>
          </w:tcPr>
          <w:p>
            <w:r>
              <w:rPr>
                <w:rFonts w:ascii="Arial" w:hAnsi="Arial"/>
                <w:sz w:val="20"/>
              </w:rPr>
              <w:t>Supplement M</w:t>
            </w:r>
          </w:p>
        </w:tc>
        <w:tc>
          <w:tcPr>
            <w:tcW w:type="dxa" w:w="7920"/>
            <w:shd w:fill="FFFFFF" w:val="clear"/>
            <w:tcMar>
              <w:top w:type="dxa" w:w="80"/>
              <w:left w:type="dxa" w:w="130"/>
              <w:bottom w:type="dxa" w:w="80"/>
              <w:right w:type="dxa" w:w="130"/>
            </w:tcMar>
          </w:tcPr>
          <w:p>
            <w:r>
              <w:rPr>
                <w:rFonts w:ascii="Arial" w:hAnsi="Arial"/>
                <w:sz w:val="20"/>
              </w:rPr>
              <w:t>One-Page Investor Tear Sheet</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 Executive Summary</w:t>
      </w:r>
    </w:p>
    <w:p>
      <w:pPr>
        <w:spacing w:before="60" w:after="80"/>
      </w:pPr>
      <w:r>
        <w:rPr>
          <w:rFonts w:ascii="Arial" w:cs="Arial" w:eastAsia="Arial" w:hAnsi="Arial"/>
          <w:color w:val="4A5568"/>
          <w:sz w:val="24"/>
          <w:szCs w:val="24"/>
        </w:rPr>
        <w:t xml:space="preserve">The Las Cruces Culinary Innovation Hub is a food hall-style marketplace built for the Las Cruces resident who loves their city but has run out of choices. In a market dominated by Mexican, New Mexican, and fast food, tens of thousands of residents -- families, students, professionals, military community members, and visitors -- are actively seeking something different: global cuisine variety — Mediterranean, Southern BBQ, ramen, plant-forward cuisine, and flavors they have never had locally. The Hub is where they find it.</w:t>
      </w:r>
    </w:p>
    <w:p>
      <w:pPr>
        <w:spacing w:before="80" w:after="80"/>
      </w:pPr>
      <w:r>
        <w:t xml:space="preserve"/>
      </w:r>
    </w:p>
    <w:p>
      <w:pPr>
        <w:spacing w:before="60" w:after="80"/>
      </w:pPr>
      <w:r>
        <w:rPr>
          <w:rFonts w:ascii="Arial" w:cs="Arial" w:eastAsia="Arial" w:hAnsi="Arial"/>
          <w:color w:val="1A1A1A"/>
          <w:sz w:val="22"/>
          <w:szCs w:val="22"/>
        </w:rPr>
        <w:t xml:space="preserve">It combines a tightly curated mix of globally diverse food concepts -- global flavors — Mediterranean, Southern BBQ, Asian fusion, and more -- alongside New Mexican and Mexican anchors that keep the menu grounded in local culture. Add a small number of rotating incubator stalls, a shared commissary kitchen, two ghost-kitchen bays, and the region's only specialty craft cider bar -- all under one 8,000 sq ft indoor, climate-controlled roof in downtown Las Cruces.</w:t>
      </w:r>
    </w:p>
    <w:p>
      <w:pPr>
        <w:pStyle w:val="Heading2"/>
      </w:pPr>
      <w:r>
        <w:t>Founder Capital and Funding Status Disclosure</w:t>
      </w:r>
    </w:p>
    <w:p>
      <w:r>
        <w:t>Founder cash available for startup capital is $0. Project launch therefore depends on a layered funding strategy built from grants, investor equity, lender financing, sponsorships, and, if necessary, a lower-capital phased opening before full indoor buildout.</w:t>
      </w:r>
    </w:p>
    <w:p>
      <w:r>
        <w:t>This disclosure is intentional. The plan does not assume hidden owner cash or guaranteed awards. Grants, sponsorships, and investors are treated as targeted and pending until formal commitments are received; SBA or other lender financing is positioned as strongest after equity-equivalent grants, investor commitments, vendor deposits, and sponsor-backed buildout support are documented.</w:t>
      </w:r>
    </w:p>
    <w:p>
      <w:r>
        <w:t>Sponsor outreach has already begun with organizations that may support specific buildout packages such as the training kitchen, incubator stalls, cider/event pad, gift shop, workforce programming, and community event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Core Premise</w:t>
            </w:r>
          </w:p>
          <w:p>
            <w:pPr>
              <w:spacing w:before="40"/>
            </w:pPr>
            <w:r>
              <w:rPr>
                <w:rFonts w:ascii="Arial" w:cs="Arial" w:eastAsia="Arial" w:hAnsi="Arial"/>
                <w:color w:val="1A1A1A"/>
                <w:sz w:val="21"/>
                <w:szCs w:val="21"/>
              </w:rPr>
              <w:t xml:space="preserve">For investors: a diversified hospitality revenue platform with conservative first-year assumptions, realistic breakeven targets, and the ability to layer in non-dilutive grant funding. For public partners and grantmakers: a culinary business incubator, workforce pipeline, and downtown revitalization anchor that celebrates local agriculture, supports local entrepreneurship, and creates 50–70 total jobs (16 direct Hub FTE + vendor-employed staff + indirect regional multiplier; see Section 14).</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Investment Highlights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Investment Required</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$1.3M - $1.4M</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Pre-Opening Grants (Equity Equivalent)</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be determined -- grant applications in progress to fund equity component; owner cash injection = $0</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7(a) Loan</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$850,000 (pre-qualification in progress)</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Grant Funding Target</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$405,000 - $595,000 (NMFA, WIOA/EmployNM, HFFF, EPE, DLCP, and others)</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Available Funding</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$1.37M - $1.54M (exceeds project need)</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1 Revenue (conservative 70% occupancy)</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$1,005,000</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 EBITDA</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 (11% margin)</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2 Revenue</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$1,430,000 (27% EBITDA margin)</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3 Revenue</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$1,700,000 (34% EBITDA margin)</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Cumulative EBITDA (Stabilized Run-Rate; see Appendix F.2 for GAAP ramp figures)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$1.068M EBITDA (stabilized model) / ($344.1K) cumulative GAAP net loss per Appendix F.2 ramp year model</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Breakeven</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18-20</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Investor ROI (3-year cumulative)</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w:t>
            </w:r>
          </w:p>
        </w:tc>
      </w:tr>
      <w:tr>
        <w:tc>
          <w:tcPr>
            <w:tcW w:type="dxa" w:w="5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Jobs Created (Direct + Indirect)</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50-70 total (16 direct Hub FTE + ~18-30 vendor/incubator staff + 1.5x indirect regional multiplier; see Section 14)</w:t>
            </w:r>
          </w:p>
        </w:tc>
      </w:tr>
      <w:tr>
        <w:tc>
          <w:tcPr>
            <w:tcW w:type="dxa" w:w="5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Grand Opening Target</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Q1–Q2 2027 (target)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Why Las Cruces, Why Now</w:t>
      </w:r>
    </w:p>
    <w:p>
      <w:pPr>
        <w:pStyle w:val="ListParagraph"/>
        <w:numPr>
          <w:ilvl w:val="0"/>
          <w:numId w:val="2"/>
        </w:numPr>
        <w:spacing w:before="40" w:after="40"/>
      </w:pPr>
      <w:r>
        <w:rPr>
          <w:rFonts w:ascii="Arial" w:cs="Arial" w:eastAsia="Arial" w:hAnsi="Arial"/>
          <w:color w:val="1A1A1A"/>
          <w:sz w:val="22"/>
          <w:szCs w:val="22"/>
        </w:rPr>
        <w:t xml:space="preserve">Residents drive 45+ minutes to Albuquerque and El Paso for Thai, Japanese, Mediterranean, and other global cuisines completely absent locally -- documented, recurring dining dollar leakage from a 300,000–350,000+ regional draw (Doña Ana County: 219,561; Las Cruces city: ~115,000). Las Cruces attracted 2.5M out-of-market visitors in 2025 (Placer data, Visit Las Cruces April 2026), with full-service restaurant gross receipts of $178.7M (NMTR RP-80). Top visitor origins: El Paso TX, Maricopa AZ, Bernalillo NM. The adjacent Organ Mountains–Desert Peaks National Monument generated $35.0M in total economic impact in 2022 (BBC Research &amp; Consulting), including $6.2M in restaurant spending by non-local visitors alone — a direct demand signal for destination dining in the Las Cruces gateway economy Confirmed also by the West Picacho MRA community survey (703 respondents, 2025): 51% of residents identified restaurants as the #1 most needed business type; 60% regularly leave the area for shopping and services</w:t>
      </w:r>
    </w:p>
    <w:p>
      <w:pPr>
        <w:pStyle w:val="ListParagraph"/>
        <w:numPr>
          <w:ilvl w:val="0"/>
          <w:numId w:val="2"/>
        </w:numPr>
        <w:spacing w:before="40" w:after="40"/>
      </w:pPr>
      <w:r>
        <w:rPr>
          <w:rFonts w:ascii="Arial" w:cs="Arial" w:eastAsia="Arial" w:hAnsi="Arial"/>
          <w:color w:val="1A1A1A"/>
          <w:sz w:val="22"/>
          <w:szCs w:val="22"/>
        </w:rPr>
        <w:t xml:space="preserve">Zero dedicated craft cider bars in southern NM -- completely open niche with 400+ years of NM apple-growing heritage to anchor it</w:t>
      </w:r>
    </w:p>
    <w:p>
      <w:pPr>
        <w:pStyle w:val="ListParagraph"/>
        <w:numPr>
          <w:ilvl w:val="0"/>
          <w:numId w:val="2"/>
        </w:numPr>
        <w:spacing w:before="40" w:after="40"/>
      </w:pPr>
      <w:r>
        <w:rPr>
          <w:rFonts w:ascii="Arial" w:cs="Arial" w:eastAsia="Arial" w:hAnsi="Arial"/>
          <w:color w:val="1A1A1A"/>
          <w:sz w:val="22"/>
          <w:szCs w:val="22"/>
        </w:rPr>
        <w:t xml:space="preserve">No structured culinary incubator in the region -- food entrepreneurs face $250,000-$500,000 barriers to entry with no lower-risk pathway</w:t>
      </w:r>
    </w:p>
    <w:p>
      <w:pPr>
        <w:pStyle w:val="ListParagraph"/>
        <w:numPr>
          <w:ilvl w:val="0"/>
          <w:numId w:val="2"/>
        </w:numPr>
        <w:spacing w:before="40" w:after="40"/>
      </w:pPr>
      <w:r>
        <w:rPr>
          <w:rFonts w:ascii="Arial" w:cs="Arial" w:eastAsia="Arial" w:hAnsi="Arial"/>
          <w:color w:val="1A1A1A"/>
          <w:sz w:val="22"/>
          <w:szCs w:val="22"/>
        </w:rPr>
        <w:t xml:space="preserve">NMSU enrollment growth, downtown Las Cruces revitalization, Fort Bliss military community expansion, and an AI data center workforce influx -- all bringing more residents who have experienced diverse dining elsewhere and expect it here</w:t>
      </w:r>
    </w:p>
    <w:p>
      <w:pPr>
        <w:pStyle w:val="ListParagraph"/>
        <w:numPr>
          <w:ilvl w:val="0"/>
          <w:numId w:val="2"/>
        </w:numPr>
        <w:spacing w:before="40" w:after="40"/>
      </w:pPr>
      <w:r>
        <w:rPr>
          <w:rFonts w:ascii="Arial" w:cs="Arial" w:eastAsia="Arial" w:hAnsi="Arial"/>
          <w:color w:val="1A1A1A"/>
          <w:sz w:val="22"/>
          <w:szCs w:val="22"/>
        </w:rPr>
        <w:t xml:space="preserve">Elevate Las Cruces (Feb 2020), East Lohman Development Plan (Sept 2021), W. Picacho and Motel MRA Plan (April 2026), and El Paseo/S. Solano MRA Plan (June 2025) have all established explicit policy frameworks for exactly this type of project -- the Hub is a direct implementation of four adopted city planning documents, not a request for new policy support</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2. Market and Cultural Context</w:t>
      </w:r>
    </w:p>
    <w:p>
      <w:pPr>
        <w:spacing w:before="60" w:after="80"/>
      </w:pPr>
      <w:r>
        <w:rPr>
          <w:rFonts w:ascii="Arial" w:cs="Arial" w:eastAsia="Arial" w:hAnsi="Arial"/>
          <w:color w:val="1A1A1A"/>
          <w:sz w:val="22"/>
          <w:szCs w:val="22"/>
        </w:rPr>
        <w:t xml:space="preserve">Las Cruces and Dona Ana County have a thriving Mexican and New Mexican restaurant culture -- and a large, documented population that is hungry for something beyond it. With 15+ traditional NM restaurants competing for the same customer base, residents seeking Thai, Mediterranean, Japanese, Southern BBQ, Vietnamese, or other global cuisines have almost nowhere to go locally. They drive to Albuquerque. They order fast food out of resignation. Or they cook at home and wish they had more options. The Hub exists for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Central Strategic Decision</w:t>
            </w:r>
          </w:p>
          <w:p>
            <w:pPr>
              <w:spacing w:before="40"/>
            </w:pPr>
            <w:r>
              <w:rPr>
                <w:rFonts w:ascii="Arial" w:cs="Arial" w:eastAsia="Arial" w:hAnsi="Arial"/>
                <w:color w:val="1A1A1A"/>
                <w:sz w:val="21"/>
                <w:szCs w:val="21"/>
              </w:rPr>
              <w:t xml:space="preserve">The Hub leads with the craving for variety -- the genuine, documented frustration of living in a city where dining out too often means choosing between the same options. Residents do not need to be convinced that diverse food is worth trying. They are already driving 45 minutes to Albuquerque to get it. The Hub makes the case simple: all of it, right here, without leaving Las Cruces. New Mexican and Mexican anchors remain in the mix because they belong and they draw traffic -- but they are no longer the headline. Variety is the headline.</w:t>
            </w:r>
          </w:p>
        </w:tc>
      </w:tr>
    </w:tbl>
    <w:p>
      <w:pPr>
        <w:spacing w:before="120" w:after="80"/>
      </w:pPr>
      <w:r>
        <w:rPr>
          <w:sz w:val="22"/>
          <w:szCs w:val="22"/>
        </w:rPr>
        <w:t xml:space="preserve">The primary audience for the Hub is direct to describe: Las Cruces residents who are tired of eating Mexican or New Mexican food — or fast food — as their default dining option every time they go out. This is not a rejection of local culinary heritage. It is a community that loves what it has and is hungry for more. These residents want variety, new flavors, and a genuinely exciting place to bring their families on a Friday night or a Sunday morning. They are already spending those dining dollars — in Albuquerque, in El Paso, or simply staying home. The Hub’s core job is to give them a reason to spend those dollars in Las Cruces.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2.1 Primary Market -- Las Cruces Metro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Demographic Factor</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Data</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Population (Las Cruces metro)</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~115,000 (city); 219,561 (Doña Ana County, 2020 Census)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Hispanic / Latino Population</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 Hispanic/Latino (58.6% per Elevate Las Cruces 2020 plan); 71.5% racial/ethnic minority -- culturally grounded food entrepreneurship is an adopted city priority (Economic Equity: 3.47/4.0 in Elevate Las Cruces implementation survey)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Enrollment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12,000+ students -- variety-seeking by nature; frequently cite lack of cuisine diversity as a top reason to leave Las Cruces post-graduation; the Hub gives them a reason to stay and dine locally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Household Income Range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$45,000 - $85,000 -- dining budget $80-$150/month</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Military Community (Fort Bliss adjacent)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Significant veteran and active-duty population; culturally diverse; entrepreneurially motivated</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Las Cruces Foot Traffic</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Growing -- DLCP revitalization programs generating increasing pedestrian activity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 Visitor Count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2.5M out-of-market visitors (2025); 2.6M (2024); 2.8M (2023) — Placer data sourced via Visit Las Cruces, April 2026. Top feeder markets: El Paso TX, Maricopa County AZ, Bernalillo County NM.</w:t>
            </w:r>
          </w:p>
        </w:tc>
      </w:tr>
    </w:tbl>
    <w:p>
      <w:pPr>
        <w:spacing w:before="80" w:after="80"/>
      </w:pPr>
      <w:r>
        <w:t xml:space="preserve"/>
      </w:r>
    </w:p>
    <w:p>
      <w:pPr>
        <w:pBdr>
          <w:top w:val="single" w:color="1B3A5C" w:sz="8" w:space="4"/>
          <w:bottom w:val="single" w:color="1B3A5C" w:sz="8" w:space="4"/>
          <w:left w:val="thick" w:color="1B3A5C" w:sz="24" w:space="8"/>
        </w:pBdr>
        <w:shd w:fill="E8EFF7" w:val="clear"/>
        <w:spacing w:before="120" w:after="60"/>
      </w:pPr>
      <w:r>
        <w:rPr>
          <w:b/>
          <w:color w:val="1B3A5C"/>
          <w:sz w:val="22"/>
          <w:szCs w:val="22"/>
        </w:rPr>
        <w:t xml:space="preserve">Sourced Visitor Data — Visit Las Cruces / Placer (April 2026)</w:t>
      </w:r>
    </w:p>
    <w:p>
      <w:pPr>
        <w:pBdr>
          <w:left w:val="thick" w:color="1B3A5C" w:sz="24" w:space="8"/>
        </w:pBdr>
        <w:shd w:fill="E8EFF7" w:val="clear"/>
        <w:spacing w:before="40" w:after="40"/>
      </w:pPr>
      <w:r>
        <w:rPr>
          <w:sz w:val="21"/>
          <w:szCs w:val="21"/>
        </w:rPr>
        <w:t xml:space="preserve">Las Cruces attracts between 2.5 and 2.8 million out-of-market visitors annually — people who visit the city but do not live or work in it. This figure is sourced from Placer foot traffic data compiled by Visit Las Cruces for a feasibility data request submitted April 7, 2026. The top three visitor origin counties are consistently El Paso County TX, Maricopa County AZ, and Bernalillo County NM — confirming that Las Cruces draws from the I-10/I-25 corridor and the Phoenix and Albuquerque metro areas as well as its immediate neighbor.</w:t>
      </w:r>
    </w:p>
    <w:p>
      <w:pPr>
        <w:pBdr>
          <w:left w:val="thick" w:color="1B3A5C" w:sz="24" w:space="8"/>
        </w:pBdr>
        <w:shd w:fill="E8EFF7" w:val="clear"/>
        <w:spacing w:before="40" w:after="40"/>
      </w:pPr>
      <w:r>
        <w:rPr>
          <w:sz w:val="21"/>
          <w:szCs w:val="21"/>
        </w:rPr>
        <w:t xml:space="preserve">Full-service restaurant gross receipts (NAICS 722511) for Las Cruces were $190.4M in 2023, $171.8M in 2024, and $178.7M in 2025 (New Mexico Taxation and Revenue RP-80). Per-visitor-plus-resident spending on full-service restaurants calculates to $65.37 per person per year in 2023, $63.29 in 2024, and $68.32 in 2025. These figures establish a documented baseline for the Hub’s revenue assumptions: each incremental visitor or new resident dining occasion captured represents meaningful, sourced demand.</w:t>
      </w:r>
    </w:p>
    <w:p>
      <w:pPr>
        <w:pBdr>
          <w:left w:val="thick" w:color="1B3A5C" w:sz="24" w:space="8"/>
        </w:pBdr>
        <w:shd w:fill="E8EFF7" w:val="clear"/>
        <w:spacing w:before="40" w:after="40"/>
      </w:pPr>
      <w:r>
        <w:rPr>
          <w:sz w:val="21"/>
          <w:szCs w:val="21"/>
        </w:rPr>
        <w:t xml:space="preserve">The Organ Mountains–Desert Peaks National Monument (OMDPNM), located immediately east of Las Cruces, is a direct feeder of food-and-beverage demand to the city. According to “A Decade of Opportunity” (BBC Research &amp; Consulting, August 2023), OMDPNM generated $35.0 million in total annual economic impact in 2022 and supported 305 jobs in Doña Ana and Luna Counties. Of the $29.9 million in non-local visitor spending that year, $6.2 million went directly to restaurants. Visitation to the Monument has more than tripled since 2012 — from 183,900 visits to 612,781 in 2022 — and held at 613,645 in FY2024 (BLM Annual Manager’s Report). Of non-local visitors, 73 percent stated the Monument was the primary reason for their visit to the area, meaning the Las Cruces dining economy benefits from a substantial and growing base of visitors specifically drawn to the region — not passing through it.</w:t>
      </w:r>
    </w:p>
    <w:p>
      <w:pPr>
        <w:pBdr>
          <w:left w:val="thick" w:color="1B3A5C" w:sz="24" w:space="8"/>
          <w:bottom w:val="single" w:color="1B3A5C" w:sz="8" w:space="4"/>
        </w:pBdr>
        <w:shd w:fill="E8EFF7" w:val="clear"/>
        <w:spacing w:before="40" w:after="120"/>
      </w:pPr>
      <w:r>
        <w:rPr>
          <w:i/>
          <w:color w:val="555555"/>
          <w:sz w:val="20"/>
          <w:szCs w:val="20"/>
        </w:rPr>
        <w:t xml:space="preserve">Data sources: Placer (out-of-market visitor counts); NM Taxation and Revenue RP-80 (gross receipts NAICS 722511); US Census 5-Year Table S0101 (population). Compiled by Visit Las Cruces in response to a feasibility data request, April 7, 2026. Organ Mountains–Desert Peaks National Monument economic impact data: BBC Research &amp; Consulting (2023), “A Decade of Opportunity,” prepared for the Las Cruces Green Chamber of Commerce, using IMPLAN regional input-output modeling. BLM Annual Manager’s Report 2024.</w:t>
      </w:r>
    </w:p>
    <w:p>
      <w:pPr>
        <w:pStyle w:val="Heading2"/>
        <w:spacing w:before="320" w:after="100"/>
      </w:pPr>
      <w:r>
        <w:rPr>
          <w:rFonts w:ascii="Arial" w:cs="Arial" w:eastAsia="Arial" w:hAnsi="Arial"/>
          <w:b/>
          <w:bCs/>
          <w:color w:val="2563A8"/>
          <w:sz w:val="28"/>
          <w:szCs w:val="28"/>
        </w:rPr>
        <w:t xml:space="preserve">2.2 Regional Draw -- 45-Minute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Market Area</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Population</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Draw Motivation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Metro (primary)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~115,000 (city); 219,561 (Doña Ana County, 2020 Census)</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dining; loyalty program; incubator community engagement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Paso Northern Communities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300,000+ within 45-min draw</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Destination dining; craft cider experience; cultural festivals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Military Community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Significant additional population</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Veteran entrepreneur pipeline; diverse dining preferences; community events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NM Communities (Mesilla, Sunland Park, Anthony)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50,000+</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day-trip destination; cultural heritage events; NM local food celebration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Regional Addressable Market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~300,000–350,000 (Doña Ana Co: 219,561 + regional corridor)</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comparable food hall destination exists within 45-minute regional draw (Doña Ana County: 219,561 per 2020 Census; Las Cruces city: ~115,000)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2.3 Documented Market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Gap</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Current State</w:t>
            </w:r>
          </w:p>
        </w:tc>
        <w:tc>
          <w:tcPr>
            <w:tcW w:type="dxa" w:w="3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Solution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Multi-Concept Food Hall</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Zero in Las Cruces or southern NM</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 sq ft curated hub with 10-13 distinct concepts under one roof</w:t>
            </w:r>
          </w:p>
        </w:tc>
      </w:tr>
      <w:tr>
        <w:tc>
          <w:tcPr>
            <w:tcW w:type="dxa" w:w="2200"/>
          </w:tcPr>
          <w:p>
            <w:pPr>
              <w:spacing w:before="60" w:after="60"/>
            </w:pPr>
            <w:r>
              <w:rPr>
                <w:b/>
                <w:sz w:val="20"/>
                <w:szCs w:val="20"/>
              </w:rPr>
              <w:t>Tourism / Visitor Dining Capture</w:t>
            </w:r>
          </w:p>
        </w:tc>
        <w:tc>
          <w:tcPr>
            <w:tcW w:type="dxa" w:w="5200"/>
          </w:tcPr>
          <w:p>
            <w:pPr>
              <w:spacing w:before="60" w:after="60"/>
            </w:pPr>
            <w:r>
              <w:rPr>
                <w:sz w:val="20"/>
                <w:szCs w:val="20"/>
              </w:rPr>
              <w:t>2.5–2.8M annual out-of-market visitors (2023–2025, Placer). Top origins: El Paso TX, Maricopa AZ, Bernalillo NM. Full-service restaurant spend per capita: $63–$68/yr (NMTR RP-80). Visitors are already here — the Hub gives them a destination dining reason to stay longer and return. OMDPNM alone generated $6.2M in non-local visitor restaurant spending in 2022 (BBC Research &amp; Consulting), with 73% of non-local visitors citing the Monument as their primary reason for the trip.</w:t>
            </w:r>
          </w:p>
        </w:tc>
        <w:tc>
          <w:tcPr>
            <w:tcW w:type="dxa" w:w="2400"/>
          </w:tcPr>
          <w:p>
            <w:pPr>
              <w:spacing w:before="60" w:after="60"/>
            </w:pPr>
            <w:r>
              <w:rPr>
                <w:sz w:val="20"/>
                <w:szCs w:val="20"/>
              </w:rPr>
              <w:t>No food hall or destination dining concept currently exists to capture this visitor spend. Visit Las Cruces co-marketing partnership fills this gap directly.</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Culinary Business Incubator</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structured low-barrier pathway for food entrepreneurs</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rotating incubator stalls at $2,500/month vs. $250K+ standalone restaurant</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Craft Cider Bar</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Zero dedicated cider bars in Las Cruces or southern NM</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20-25 rotating taps; 8-10 NM cideries; Cider Club membership program</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Signature Restaurant (Owner-Operated)</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Hub-owned direct-revenue stall exists in current food hall models — most halls earn only % rent from vendors</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Hub-owned proprietary concept occupying one anchor stall; 100% of food revenue flows directly to the Hub rather than as a % license fee from an independent operator. Materially improves Hub economics and hedges against vendor vacancy.</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Culinary Tourism Destination</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Residents drive 45+ min to Albuquerque and El Paso for Thai, Japanese, Mediterranean, and other global cuisines -- none available locally; dining dollars leave Las Cruces. Both the W. Picacho MRA (March 2023) and El Paseo/S. Solano MRA (2023) plans explicitly identify food hall, commercial kitchen, and food-based retail incubators as priority community needs -- giving the Hub direct policy backing in two of Las Cruces' three active MRA zones</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destination with monthly cultural festivals and quarterly night markets</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Training in Food</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structured culinary career ladder</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NMSU + DACC partnership; 10-15 paid apprenticeships/year at $15-$18/hour; career ladder to ownership -- directly advances Ready Workforce (3.51/4.0), the highest-ranked goal in the Elevate Las Cruces 2019 community survey. Workforce training is also Strategy 3.5 in the W. Picacho MRA Plan (2026), specifically recommending food service, retail management, and building trades training for MRA residents (median HH income $26,139; unemployment 20.7%)</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3. Concept Overview</w:t>
      </w:r>
    </w:p>
    <w:p>
      <w:pPr>
        <w:spacing w:before="60" w:after="80"/>
      </w:pPr>
      <w:r>
        <w:rPr>
          <w:rFonts w:ascii="Arial" w:cs="Arial" w:eastAsia="Arial" w:hAnsi="Arial"/>
          <w:color w:val="1A1A1A"/>
          <w:sz w:val="22"/>
          <w:szCs w:val="22"/>
        </w:rPr>
        <w:t xml:space="preserve">The Hub will occupy approximately 8,000 square feet of indoor, climate-controlled space in a downtown Las Cruces location zoned as Urban Character Area under the Realize Las Cruces 2025 Zoning Code (passed February 2025), with flexible seating, family-friendly design, and an event-ready central gathering area. From a guest's perspective, the experience answers a question Las Cruces has never had a good answer to: where do I go when I want something besides a burrito or fast food tonight? The Hub is casual but intentional, with music, art, diverse programming, and a craft cider bar that reflects the borderland community while delivering something the community has never had locally.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3.1 Physical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Component</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Count</w:t>
            </w:r>
          </w:p>
        </w:tc>
        <w:tc>
          <w:tcPr>
            <w:tcW w:type="dxa" w:w="6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 Stalls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 stalls</w:t>
            </w:r>
          </w:p>
        </w:tc>
        <w:tc>
          <w:tcPr>
            <w:tcW w:type="dxa" w:w="6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private kitchens; 2+ year license commitments; NM/Mexican anchors + Hub Signature Restaurant (owner-operated) + Southern BBQ + additional curated concepts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Rotating Incubator Stalls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stalls</w:t>
            </w:r>
          </w:p>
        </w:tc>
        <w:tc>
          <w:tcPr>
            <w:tcW w:type="dxa" w:w="6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12-18 month cohorts; staggered start dates; emerging culinary entrepreneurs on the three-stage graduation pathway</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 Bays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bays</w:t>
            </w:r>
          </w:p>
        </w:tc>
        <w:tc>
          <w:tcPr>
            <w:tcW w:type="dxa" w:w="6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Delivery-only concept development; $1,500-$2,000/month + 8% commission on sales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Shared Commissary Kitchen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 kitchen</w:t>
            </w:r>
          </w:p>
        </w:tc>
        <w:tc>
          <w:tcPr>
            <w:tcW w:type="dxa" w:w="6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Separate from vendor stalls; available for catering, wholesale production, and external food entrepreneurs at $25-$35/hour</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Specialty Craft Cider Bar</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bar</w:t>
            </w:r>
          </w:p>
        </w:tc>
        <w:tc>
          <w:tcPr>
            <w:tcW w:type="dxa" w:w="6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20-25 rotating taps; 8-10 NM cideries featured; Cider Club Membership; tasting flights; food pairings; event anchor</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Common Dining Area</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60-80 seats</w:t>
            </w:r>
          </w:p>
        </w:tc>
        <w:tc>
          <w:tcPr>
            <w:tcW w:type="dxa" w:w="6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Climate-controlled; flexible for events, live music, trivia, Loteria nights, cultural festivals, and quarterly night markets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3.2 The Vendor Mix -- Curated for Las Cruces</w:t>
      </w:r>
    </w:p>
    <w:p>
      <w:pPr>
        <w:spacing w:before="60" w:after="80"/>
      </w:pPr>
      <w:r>
        <w:rPr>
          <w:rFonts w:ascii="Arial" w:cs="Arial" w:eastAsia="Arial" w:hAnsi="Arial"/>
          <w:color w:val="1A1A1A"/>
          <w:sz w:val="22"/>
          <w:szCs w:val="22"/>
        </w:rPr>
        <w:t xml:space="preserve">The permanent stall vendor mix is designed to solve the problem the Hub was built around: Las Cruces residents who want more than the same rotation of Mexican and New Mexican food can find on every corner. Diversity is not layered on top of a familiar foundation -- diversity IS the foundation. New Mexican and Mexican anchors earn their place because they are genuinely excellent and drive steady weekday traffic, not because the Hub needs permission to be different. The curation philosophy: give the variety-seeking Las Cruces resident a reason to come back every week, because something new is always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Concept Category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Strategic Role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Traditional New Mexican (enchiladas, tamales, red/green chile)</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 -- anchor of local identity</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credibility anchor; highest local familiarity; repeat visit driver for traditional families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Mexican Street Food (tacos, tortas, caldos, elotes)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 -- Las Cruces dining staple</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Price-accessible; high frequency; broad demographic appeal; weekday lunch and dinner workhorse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 target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Owner-operated Hub concept; 100% of food revenue flows directly to Hub; no vendor license fee; selected by founder/chef; permanent anchorowing; permanent anchor</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BBQ and Smoked Meats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 target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Broad appeal; high weekend traffic; founder expertise in BBQ adds personal curation credibility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Mediterranean / Plant-Forward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Health-conscious segment anchor; vegetarian and vegan option; connects to NMSU wellness community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Asian Fusion or Ramen</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Gen Z and young professional appeal; photogenic; social media content driver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Dessert / Baked Goods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Repeat visit add-on; child-friendly; supports family segment; commissary kitchen users as natural incubator candidates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Rotating Slots (2-3)</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Open pipeline -- staggered recruitment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Emerging concepts; cultural variety; entrepreneurship showcase; grant reporting content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3.3 Programming as Core Infrastructure</w:t>
      </w:r>
    </w:p>
    <w:p>
      <w:pPr>
        <w:spacing w:before="80" w:after="80"/>
      </w:pPr>
      <w:r>
        <w:rPr>
          <w:sz w:val="22"/>
          <w:szCs w:val="22"/>
        </w:rPr>
        <w:t xml:space="preserve">This approach is validated by regional data. The Organ Mountains–Desert Peaks National Monument, Las Cruces’ most significant regional attractor, demonstrates that Las Cruces-area residents and visitors respond strongly to programmed experiences. The BLM Annual Manager’s Report (FY2024) documents 613,645 monument visits, 19 guided docent hikes, an archaeological fair that drew regional attendance, a week-long girls’ outdoor camp, and a 10th-anniversary celebration that drew 948 attendees to organized events with over 4,000 social media reactions reaching more than half a million people. Visit Las Cruces has leveraged monument programming through its “Monuments to Main Street” (M2M) initiative to drive visitors from monument experiences into downtown restaurants, shops, and entertainment. The Hub’s programming strategy is designed as the urban counterpart to this model: create events that give people a reason to show up, then convert that attention into dining revenue and repeat visits.</w:t>
      </w:r>
    </w:p>
    <w:p>
      <w:pPr>
        <w:spacing w:before="60" w:after="80"/>
      </w:pPr>
      <w:r>
        <w:rPr>
          <w:rFonts w:ascii="Arial" w:cs="Arial" w:eastAsia="Arial" w:hAnsi="Arial"/>
          <w:color w:val="1A1A1A"/>
          <w:sz w:val="22"/>
          <w:szCs w:val="22"/>
        </w:rPr>
        <w:t xml:space="preserve">Weekly rituals and seasonal festivals are treated as operational infrastructure from Day 1 -- not amenities added once doors are open. Consistent programming is essential for customer habit-building (repeat visits), grant-funded community outcomes, and Cider Club member engagement.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500"/>
        <w:gridCol w:w="32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Programming Type</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Frequency</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Function</w:t>
            </w:r>
          </w:p>
        </w:tc>
        <w:tc>
          <w:tcPr>
            <w:tcW w:type="dxa" w:w="3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Community Outcome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Rituals (trivia, live music, Loteria, themed nights)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Habit-building; extends dwell time; increases check average</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gathering; cultural engagement; downtown activation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Chile-and-Cider Pairings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(featured)</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revenue; cross-vendor sales; event ticket uplift</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agriculture education; local producer storytelling</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Food Festivals (Global Flavors Night, BBQ Weekend, NM Heritage, etc.)</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Ticket sales + incremental vendor revenue %</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tourism; minority entrepreneur showcase; press generation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Education Events (producer nights, tastings, harvest events)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Club conversions; tasting flight revenue; bottle retail</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agriculture and heritage; cider producer economic support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Quarterly Night Markets (artisans, food, music)</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Quarterly -- 300-500 attendees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booth fees; foot traffic surge; regional visitor draw</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revitalization; tourism destination metrics; community placemaking</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Open Houses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(Sunday evenings)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Apprenticeship enrollment pipeline</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development grant reporting; community education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4. Vendor and Incubator Model</w:t>
      </w:r>
    </w:p>
    <w:p>
      <w:pPr>
        <w:spacing w:before="60" w:after="80"/>
      </w:pPr>
      <w:r>
        <w:rPr>
          <w:rFonts w:ascii="Arial" w:cs="Arial" w:eastAsia="Arial" w:hAnsi="Arial"/>
          <w:color w:val="1A1A1A"/>
          <w:sz w:val="22"/>
          <w:szCs w:val="22"/>
        </w:rPr>
        <w:t xml:space="preserve">Vendors participate through license agreements rather than traditional leases -- a structure recommended by food hall legal analysts (ArentFox Schiff, 2024) for its flexibility, faster vendor transition capability, and reduced litigation risk. Licenses give the Hub exclusive right to manage shared spaces and allows rapid transition if a concept underperforms, without the burden of formal eviction proceedings.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Smallman Galley Lesson -- Applied from Day 1</w:t>
            </w:r>
          </w:p>
          <w:p>
            <w:pPr>
              <w:spacing w:before="40"/>
            </w:pPr>
            <w:r>
              <w:rPr>
                <w:rFonts w:ascii="Arial" w:cs="Arial" w:eastAsia="Arial" w:hAnsi="Arial"/>
                <w:color w:val="1A1A1A"/>
                <w:sz w:val="21"/>
                <w:szCs w:val="21"/>
              </w:rPr>
              <w:t xml:space="preserve">Pittsburgh's Smallman Galley incubator food hall learned the hard way: when all vendor licenses expire simultaneously, the entire cohort departs at once, creating revenue collapse and customer disorientation. The Las Cruces Hub staggers all incubator license start dates by 3-6 months from the outset. No more than one stall turns over at any given time. Combined with 7-8 permanent stalls on rolling 2+ year commitments, revenue continuity is structurally protected regardless of incubator rotation activity.</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4.1 Dual-Track 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2500"/>
        <w:gridCol w:w="18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Track</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Stalls</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License Term</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Mission</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Rent Structure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 Anchor</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year rolling (staggered renewal dates)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Anchor consistent traffic; loyal customer base; cultural identity; mentor incubator cohorts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$2,800-$3,200/month + 6% of gross sales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Rotating Incubator</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12-18 months (staggered start dates)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Launch emerging food entrepreneurs on the three-stage graduation journey</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$2,000-$2,500/month + 8% of gross sales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bays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12-month renewable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Delivery-only concept testing; incremental revenue; low-risk format experimentation</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$1,500-$2,000/month + 8% of gross sales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4.2 The Three-Stage Vendor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00"/>
        <w:gridCol w:w="28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Stage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29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2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Support Provided</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1: Incubator Entry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1-12</w:t>
            </w:r>
          </w:p>
        </w:tc>
        <w:tc>
          <w:tcPr>
            <w:tcW w:type="dxa" w:w="2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validated; menu refined; profitability established; 4.0+ Google rating achieved</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coaching; NMED permit guidance; POS training; marketing integration; collective purchasing; insurance verification</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Stage 2: Permanent Stall</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13-18</w:t>
            </w:r>
          </w:p>
        </w:tc>
        <w:tc>
          <w:tcPr>
            <w:tcW w:type="dxa" w:w="2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Sustained profitability + loyalty proven -- offered permanent stall license within the Hub</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Long-term license; mentorship role for next incubator cohort; ongoing operational and marketing support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3: Independence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19-36</w:t>
            </w:r>
          </w:p>
        </w:tc>
        <w:tc>
          <w:tcPr>
            <w:tcW w:type="dxa" w:w="2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Graduation to fully independent brick-and-mortar location in the Las Cruces region</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loan guidance; commercial site selection; business plan development support; alumni network access; optional co-investment (5-15% equity stake in graduating business)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4.3 Dedicated Private Kitchen Per Stall -- The Operational Differentiator</w:t>
      </w:r>
    </w:p>
    <w:p>
      <w:pPr>
        <w:spacing w:before="60" w:after="80"/>
      </w:pPr>
      <w:r>
        <w:rPr>
          <w:rFonts w:ascii="Arial" w:cs="Arial" w:eastAsia="Arial" w:hAnsi="Arial"/>
          <w:color w:val="1A1A1A"/>
          <w:sz w:val="22"/>
          <w:szCs w:val="22"/>
        </w:rPr>
        <w:t xml:space="preserve">Every vendor stall includes its own fully equipped, private dedicated kitchen -- not a shared kitchen arrangement where vendors compete for equipment or schedule time. This is the single most important operational feature of the Hub and the primary reason operators choose it over shared-kitchen alternatives.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Equipment Per Stall</w:t>
            </w:r>
          </w:p>
        </w:tc>
        <w:tc>
          <w:tcPr>
            <w:tcW w:type="dxa" w:w="5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Specification</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Gas Range / Cooktop</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6-burner commercial gas range with oven; electric induction available for select concepts</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Ventilation Hood</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UL-listed commercial exhaust hood with integrated fire suppression -- exclusive to stall</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Reach-In Refrigerator (2-door)</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Full-height commercial cooler for ingredient storage and line prep</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Freezer</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protein and frozen goods storage</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Fryer</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 or dual-basket (concept-dependent)</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Stainless Prep Table (8 ft)</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NSF-rated with under-shelf storage</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Sinks (Hand + 3-Compartment)</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per NMED health code; exclusive to each stall</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Grease Trap Connection</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Individual line or shared hub interceptor per permitting</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 System (Touchscreen)</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Integrated with hub-wide unified multi-vendor commerce platform</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Branded Counter + Serving Window</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Customer-facing pass-through reflecting operator brand identity</w:t>
            </w:r>
          </w:p>
        </w:tc>
      </w:tr>
      <w:tr>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NSF Storage Shelving</w:t>
            </w:r>
          </w:p>
        </w:tc>
        <w:tc>
          <w:tcPr>
            <w:tcW w:type="dxa" w:w="5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Wire shelving for dry goods and supply storage</w:t>
            </w:r>
          </w:p>
        </w:tc>
      </w:tr>
      <w:tr>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Smallwares Starter Package</w:t>
            </w:r>
          </w:p>
        </w:tc>
        <w:tc>
          <w:tcPr>
            <w:tcW w:type="dxa" w:w="5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Pots, pans, cutting boards, knife set, starter utensil set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4.4 Incubator Support Services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5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Services Provided</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 and Pre-Opening</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 months before move-in</w:t>
            </w:r>
          </w:p>
        </w:tc>
        <w:tc>
          <w:tcPr>
            <w:tcW w:type="dxa" w:w="5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review and feedback; taste-testing sessions; menu costing and pricing optimization; P&amp;L forecasting; ServSafe certification support; NMED permit application guidance; POS system training; insurance requirements briefing</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Early Operations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1-6</w:t>
            </w:r>
          </w:p>
        </w:tc>
        <w:tc>
          <w:tcPr>
            <w:tcW w:type="dxa" w:w="5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Weekly one-on-one check-ins; kitchen workflow orientation; marketing integration (Hub social media features, email newsletter inclusion); cross-vendor collaboration introductions; collective purchasing enrollment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Profitability Development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7-12</w:t>
            </w:r>
          </w:p>
        </w:tc>
        <w:tc>
          <w:tcPr>
            <w:tcW w:type="dxa" w:w="5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P&amp;L reviews with cost optimization coaching; event programming participation and customer data review; mentorship matching with permanent stall operators; quality gate monitoring and feedback</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Stall Evaluation</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13-18</w:t>
            </w:r>
          </w:p>
        </w:tc>
        <w:tc>
          <w:tcPr>
            <w:tcW w:type="dxa" w:w="5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Formal performance review for permanent stall designation eligibility; SBA pre-counseling session for those pursuing independent location; graduation planning and timeline development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Post-Graduation Support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w:t>
            </w:r>
          </w:p>
        </w:tc>
        <w:tc>
          <w:tcPr>
            <w:tcW w:type="dxa" w:w="5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Alumni network membership; SBA loan application support; commercial real estate broker introductions; ongoing marketing cross-promotion; optional co-investment partnership discussion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4.5 Equity and Inclusive Entrepreneurship</w:t>
      </w:r>
    </w:p>
    <w:p>
      <w:pPr>
        <w:spacing w:before="60" w:after="80"/>
      </w:pPr>
      <w:r>
        <w:rPr>
          <w:rFonts w:ascii="Arial" w:cs="Arial" w:eastAsia="Arial" w:hAnsi="Arial"/>
          <w:color w:val="1A1A1A"/>
          <w:sz w:val="22"/>
          <w:szCs w:val="22"/>
        </w:rPr>
        <w:t xml:space="preserve">70% of vendor stalls are reserved for first-time, minority, veteran, or immigrant entrepreneurs -- reflecting Las Cruces's 65%+ Hispanic population and the region's active military and veteran community. This commitment is both a genuine community value and a deliberate grant-eligibility strategy that unlocks multiple funding categories.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 Group</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Specific Hub Support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First-time restaurant owners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Graduated rent ($2,000/month for first 6 months); intensive weekly coaching for first 90 days; free entrepreneurship training curriculum ($1,500-$3,000 value)</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Hispanic, Black, Asian, Native American entrepreneurs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Bilingual English/Spanish onboarding materials; mentorship matching with operators from similar backgrounds; culturally relevant cuisine concepts prioritized</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Veteran-owned businesses (regional military community)</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application review; Veterans Business Outreach Center partnership; SBDC veterans program connection; veteran peer mentorship network</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Immigrant-owned businesses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Cultural cuisine diversity actively encouraged; community language support resources; immigrant business advocacy organization partnerships</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Women-owned businesses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Mentorship matching with women operator alumni; women-in-food-business networking events; priority consideration in permanent stall evaluations</w:t>
            </w:r>
          </w:p>
        </w:tc>
      </w:tr>
    </w:tbl>
    <w:p>
      <w:r>
        <w:br w:type="page"/>
      </w:r>
    </w:p>
    <w:p>
      <w:pPr>
        <w:pStyle w:val="Heading2"/>
      </w:pPr>
      <w:r>
        <w:t>4.6 Food Entrepreneur Academy and Bilingual Support</w:t>
      </w:r>
    </w:p>
    <w:p>
      <w:r>
        <w:t>Before vendors enter an incubator stall, the Hub may operate an 8-12 week Food Entrepreneur Academy to prepare operators for customer-facing retail service. The academy gives funders a clear, measurable training pipeline and gives vendors a lower-risk path before signing a stall license.</w:t>
      </w:r>
    </w:p>
    <w:p>
      <w:pPr>
        <w:pStyle w:val="ListParagraph"/>
      </w:pPr>
      <w:r>
        <w:t>Core curriculum: menu costing, pricing, food safety, permitting, tax basics, POS use, customer testing, brand positioning, packaging readiness, and basic financial reporting.</w:t>
      </w:r>
    </w:p>
    <w:p>
      <w:pPr>
        <w:pStyle w:val="ListParagraph"/>
      </w:pPr>
      <w:r>
        <w:t>Bilingual support: Spanish-language vendor onboarding, permit guidance, tax basics, financial coaching, licensing review, and customer-service materials will be available where needed.</w:t>
      </w:r>
    </w:p>
    <w:p>
      <w:pPr>
        <w:pStyle w:val="ListParagraph"/>
      </w:pPr>
      <w:r>
        <w:t>Readiness gate: vendors complete proof-of-concept sales, menu-cost review, ServSafe/NMED preparation, and a basic 12-month operating budget before final stall placement.</w:t>
      </w:r>
    </w:p>
    <w:p>
      <w:pPr>
        <w:pStyle w:val="Heading2"/>
      </w:pPr>
      <w:r>
        <w:t>4.7 Vendor Failure Protocol</w:t>
      </w:r>
    </w:p>
    <w:p>
      <w:r>
        <w:t>Vendor underperformance is managed as an operating risk, not as a surprise. If a vendor misses agreed standards, the Hub uses a stepwise response: coaching, documented improvement plan, menu/pricing correction, temporary shift into pop-up or ghost-kitchen format, and replacement from the waitlist if performance does not recover.</w:t>
      </w:r>
    </w:p>
    <w:p>
      <w:r>
        <w:t>This protects the revenue base while still supporting entrepreneurs. Permanent anchors and staggered incubator start dates keep no single vendor departure from destabilizing the food hall.</w:t>
      </w:r>
    </w:p>
    <w:p>
      <w:pPr>
        <w:pStyle w:val="Heading2"/>
      </w:pPr>
      <w:r>
        <w:t>4.8 Retail Shelf Participation</w:t>
      </w:r>
    </w:p>
    <w:p>
      <w:r>
        <w:t>Vendors may participate in the gift shop and retail incubator shelf only under written license terms. The license will define approved products, revenue share or wholesale pricing, food safety responsibility, labeling, insurance, inventory handling, unsold product treatment, and sales reporting.</w:t>
      </w:r>
    </w:p>
    <w:p>
      <w:pPr>
        <w:pStyle w:val="Heading1"/>
        <w:pBdr>
          <w:bottom w:val="single" w:color="2563A8" w:sz="6" w:space="8"/>
        </w:pBdr>
        <w:spacing w:before="480" w:after="140"/>
      </w:pPr>
      <w:r>
        <w:rPr>
          <w:rFonts w:ascii="Arial" w:cs="Arial" w:eastAsia="Arial" w:hAnsi="Arial"/>
          <w:b/>
          <w:bCs/>
          <w:color w:val="1B3A5C"/>
          <w:sz w:val="36"/>
          <w:szCs w:val="36"/>
        </w:rPr>
        <w:t xml:space="preserve">5. Specialty Craft Cider Bar</w:t>
      </w:r>
    </w:p>
    <w:p>
      <w:pPr>
        <w:spacing w:before="60" w:after="80"/>
      </w:pPr>
      <w:r>
        <w:rPr>
          <w:rFonts w:ascii="Arial" w:cs="Arial" w:eastAsia="Arial" w:hAnsi="Arial"/>
          <w:color w:val="1A1A1A"/>
          <w:sz w:val="22"/>
          <w:szCs w:val="22"/>
        </w:rPr>
        <w:t xml:space="preserve">The specialty craft cider bar is the Hub's most visible point of differentiation and its primary community-building engine. It fills a completely open niche in southern New Mexico by highlighting regional cider makers, New Mexico heritage apple orchards, and the 400+ year history of apple growing in Velarde, Los Ranchos, Cloudcroft, and the Sacramento Mountains.</w:t>
      </w:r>
    </w:p>
    <w:p>
      <w:pPr>
        <w:spacing w:before="80" w:after="80"/>
      </w:pPr>
      <w:r>
        <w:t xml:space="preserve"/>
      </w:r>
    </w:p>
    <w:p>
      <w:pPr>
        <w:spacing w:before="60" w:after="80"/>
      </w:pPr>
      <w:r>
        <w:rPr>
          <w:rFonts w:ascii="Arial" w:cs="Arial" w:eastAsia="Arial" w:hAnsi="Arial"/>
          <w:color w:val="1A1A1A"/>
          <w:sz w:val="22"/>
          <w:szCs w:val="22"/>
        </w:rPr>
        <w:t xml:space="preserve">Because cider is naturally lower-ABV than many spirits and beers, it fits well with customers who want a social drink that feels lighter, more sessionable, and more food-pairing-friendly. It also anchors the Hub's evening programming: live music, trivia, themed cultural nights, and educational tastings build naturally around the cider bar as the social gravitational center of the facility.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5.1 Tap Program -- 20-25 Rotating Taps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Category</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Taps</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Featured Producers / Notes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Mexico Cideries (Primary)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8-10 taps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Hellgate Ciders, New Mexico Hard Cider (Santa Fe), Steel Bender Brewing (Los Ranchos single-orchard ciders), Black Mesa Winery (Velarde apples), Tractor Brewing (Cloudcroft partnership). Seasonal harvest rotations; 400+ year NM apple heritage storytelling anchor.</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Craft Ciders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6-8 taps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Arizona, California, Pacific Northwest producers. Builds cider education depth and quality variety beyond NM production calendar.</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International Expressions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4-6 taps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Spanish Basque dry ciders, French Normandy, hopped English styles. Educational contrast; exceptional food pairing flexibility across global cuisines.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Seasonal / Limited Release</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rotating</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NM harvest releases, single-orchard bottlings, producer event ciders. Primary driver of Cider Club member repeat visits and word-of-mouth.</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Wine (Secondary)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 selections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wines + Southwest regional. Available pairing alternative; intentionally secondary to cider brand positioning.</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Beer (Minimal, Intentional)</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 selections</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craft only; available but not promoted. Preserves the cider destination market differentiation.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5.2 Cider Club Membership -- Recurring Revenue Engine</w:t>
      </w:r>
    </w:p>
    <w:p>
      <w:pPr>
        <w:spacing w:before="60" w:after="80"/>
      </w:pPr>
      <w:r>
        <w:rPr>
          <w:rFonts w:ascii="Arial" w:cs="Arial" w:eastAsia="Arial" w:hAnsi="Arial"/>
          <w:color w:val="1A1A1A"/>
          <w:sz w:val="22"/>
          <w:szCs w:val="22"/>
        </w:rPr>
        <w:t xml:space="preserve">Subscription models are among the most validated revenue innovations in 2026 food and beverage (Panera MyPanera+, Taco Bell Taco Lover's Pass, and dozens of craft beverage programs nationally). The Cider Club creates predictable recurring monthly revenue independent of daily traffic fluctuations -- a structural benefit for cash flow management during Year 1 ramp-up.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00"/>
        <w:gridCol w:w="24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Tier</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Fee</w:t>
            </w:r>
          </w:p>
        </w:tc>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Benefits</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Strategic Purpose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Taster</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$25/month</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tasting flight/month (4 ciders); 10% discount on all pours; member newsletter; early event access</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Entry-level conversion; builds membership habit with low financial barrier</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Enthusiast</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$45/month</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 flights/month; 15% discount on all pours; reserved seating at cider events; member wall listing; exclusive producer meet-and-greet access</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recurring revenue tier; most common upgrade path from Taster</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Connoisseur</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$85/month</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Unlimited tasting flights; 20% discount; private-label seasonal bottle; quarterly private pairing dinner with Hub chefs and NM cider producers</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Brand ambassador tier; generates highest referral value and social media content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Cider Club Revenue Projection</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 Conservative</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2 Growth</w:t>
            </w:r>
          </w:p>
        </w:tc>
      </w:tr>
      <w:tr>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Average Members (avg $40/month)</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75 members</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 members</w:t>
            </w:r>
          </w:p>
        </w:tc>
      </w:tr>
      <w:tr>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 Membership Revenue</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$36,000</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$81,000</w:t>
            </w:r>
          </w:p>
        </w:tc>
      </w:tr>
      <w:tr>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Target Year 1 Range</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$36,000-$55,000</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5.3 Cider Bar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Stream</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Conservative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Growth</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Draft Pours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900-1,200 pours/month; $8-$12/pour; 60-70% gross margin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Tasting Flights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$18-$25/flight; curated 4-cider experience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Club Memberships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75-150 members; tiered monthly subscriptions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Retail Bottle Shop</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cider to-go; 10-15% markup on wholesale cost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Pairing Dinners and Events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Quarterly ticketed events; $50-$75/person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Cider Bar Revenue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$179,000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$278,000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midpoint: $157,000-$223,000/year</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5.4 NM Liquor License -- Critical Path Item</w:t>
      </w:r>
    </w:p>
    <w:p>
      <w:pPr>
        <w:spacing w:before="60" w:after="80"/>
      </w:pPr>
      <w:r>
        <w:rPr>
          <w:rFonts w:ascii="Arial" w:cs="Arial" w:eastAsia="Arial" w:hAnsi="Arial"/>
          <w:color w:val="1A1A1A"/>
          <w:sz w:val="22"/>
          <w:szCs w:val="22"/>
        </w:rPr>
        <w:t xml:space="preserve">The cider bar's liquor license is the most time-sensitive regulatory item in the entire project timeline. The NM Dispenser's License application process takes 30-120 days through the NM Regulation and Licensing Department's ABC Division, and requires a 30-day public notice posting on premises. This application must be initiated in Month 1 -- simultaneously with site lease execution -- or the Grand Opening timeline is at risk.</w:t>
      </w:r>
    </w:p>
    <w:p>
      <w:pPr>
        <w:spacing w:before="80" w:after="80"/>
      </w:pPr>
      <w:r>
        <w:rPr>
          <w:sz w:val="22"/>
          <w:szCs w:val="22"/>
        </w:rPr>
        <w:t xml:space="preserve">Two licensing paths exist for the cider bar. The standard route is the NM Dispenser’s License ($1,050–$1,300/year), which operates under a quota system that may require purchasing a secondary-market license ($5,000–$50,000+) if the Las Cruces quota is full. The lower-cost alternative is the NM Winegrower’s License (NMSA §60-6A-11), which costs only $25/year and permits both production and retail sale of cider under 5,000 gallons annually — bypassing the quota system entirely. The Winegrower’s path is also the appropriate federal trigger: any on-site cider production additionally requires a free TTB (Alcohol and Tobacco Tax and Trade Bureau) Winery Permit or Brewer’s Notice, with a 60–120 day processing time at ttb.gov. If the Hub pours only pre-produced ciders from licensed NM producers with no on-site blending or production, no TTB permit is needed. The correct license class must be confirmed with a New Mexico alcohol licensing attorney before any application is filed — the two paths have different eligibility requirements and different implications for the Hub’s operating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Month 1 Action Required</w:t>
            </w:r>
          </w:p>
          <w:p>
            <w:pPr>
              <w:spacing w:before="40"/>
            </w:pPr>
            <w:r>
              <w:rPr>
                <w:rFonts w:ascii="Arial" w:cs="Arial" w:eastAsia="Arial" w:hAnsi="Arial"/>
                <w:color w:val="1A1A1A"/>
                <w:sz w:val="21"/>
                <w:szCs w:val="21"/>
              </w:rPr>
              <w:t xml:space="preserve">Check Las Cruces Dispenser license quota availability at rld.nm.gov/abc immediately. If the quota is full, a secondary-market license purchase may be required ($5,000-$50,000+). Budget this contingency into the capital stack. Also obtain NM CRS Tax Registration first -- it is a prerequisite for the liquor license application.
ALTERNATIVE LICENSING PATH — NM Winegrower’s License (NMSA 60-6A-11): The Winegrower’s License costs $25/year and permits production AND retail sale of wine and cider under 5,000 gallons annually. This may be the correct primary license for the Hub’s cider bar if it pours producer-supplied NM ciders at retail and does not exceed the volume threshold. Confirm with NM RLD ABC whether the Hub’s specific operating model qualifies — this path avoids the Dispenser quota system entirely.
FEDERAL REQUIREMENT — TTB Permit: Any on-site cider production or blending also requires a federal Alcohol and Tobacco Tax and Trade Bureau (TTB) Brewer’s Notice or Winery Permit (ttb.gov). TTB applications are free but take 60–120 days to process. If the Hub intends any in-house production or custom blending of NM ciders, initiate the TTB application in Month 1 concurrently with the NM license application. If the Hub pours only pre-produced ciders from licensed NM producers with no on-site production, no TTB federal permit is required — only the NM retail license applies. Consult an NM alcohol licensing attorney before filing to confirm which path applies.</w:t>
            </w:r>
          </w:p>
        </w:tc>
      </w:tr>
    </w:tbl>
    <w:p>
      <w:r>
        <w:br w:type="page"/>
      </w:r>
    </w:p>
    <w:p>
      <w:pPr>
        <w:pageBreakBefore/>
        <w:spacing w:before="0" w:after="0"/>
      </w:pPr>
    </w:p>
    <w:p>
      <w:pPr>
        <w:spacing w:before="480" w:after="160"/>
        <w:pBdr>
          <w:bottom w:val="single" w:color="8B3A2E" w:sz="8" w:space="10"/>
        </w:pBdr>
      </w:pPr>
      <w:r>
        <w:rPr>
          <w:b/>
          <w:sz w:val="40"/>
          <w:szCs w:val="40"/>
          <w:color w:val="8B3A2E"/>
          <w:rFonts w:ascii="Georgia" w:hAnsi="Georgia"/>
        </w:rPr>
        <w:t>5.5 Gift Shop and Retail Merchandising</w:t>
      </w:r>
    </w:p>
    <w:p>
      <w:pPr>
        <w:spacing w:before="200" w:after="80"/>
      </w:pPr>
      <w:r>
        <w:rPr>
          <w:b/>
          <w:sz w:val="26"/>
          <w:szCs w:val="26"/>
          <w:color w:val="1B3A5C"/>
          <w:rFonts w:ascii="Georgia" w:hAnsi="Georgia"/>
        </w:rPr>
        <w:t>Concept and Strategic Purpose</w:t>
      </w:r>
    </w:p>
    <w:p>
      <w:pPr>
        <w:spacing w:before="60" w:after="80"/>
      </w:pPr>
      <w:r>
        <w:rPr>
          <w:sz w:val="22"/>
          <w:szCs w:val="22"/>
        </w:rPr>
        <w:t xml:space="preserve">The Hub will include a dedicated gift shop and retail merchandising area positioned near the main exit or along the primary circulation path. Rather than a generic souvenir space, it functions as a curated retail extension of the Hub’s culinary identity — allowing guests to take home signature flavors, branded products, local pantry goods, and meal kits inspired by the vendors inside. It is treated as a formal ancillary profit center, not a side amenity.</w:t>
      </w:r>
    </w:p>
    <w:p>
      <w:pPr>
        <w:spacing w:before="60" w:after="80"/>
      </w:pPr>
      <w:r>
        <w:t>The retail program supports the Hub's business model in four concrete ways: it diversifies revenue alongside stall license fees, commissary income, beverage sales, and event programming; it deepens guest engagement by allowing customers to continue interacting with Hub brands at home; it strengthens destination appeal for tourists and regional visitors seeking New Mexico food products and locally rooted culinary gifts; and it creates a legally managed retail incubator shelf for vendor-tested packaged products under the vendor license agreement.</w:t>
      </w:r>
    </w:p>
    <w:p>
      <w:pPr>
        <w:spacing w:before="200" w:after="80"/>
      </w:pPr>
      <w:r>
        <w:rPr>
          <w:b/>
          <w:sz w:val="26"/>
          <w:szCs w:val="26"/>
          <w:color w:val="1B3A5C"/>
          <w:rFonts w:ascii="Georgia" w:hAnsi="Georgia"/>
        </w:rPr>
        <w:t>Retail Product Mix — Five Categories</w:t>
      </w:r>
    </w:p>
    <w:p>
      <w:pPr>
        <w:spacing w:before="100" w:after="60"/>
      </w:pPr>
      <w:r>
        <w:rPr>
          <w:b/>
          <w:sz w:val="22"/>
          <w:szCs w:val="22"/>
          <w:color w:val="14746F"/>
        </w:rPr>
        <w:t>1. Vendor-Branded Experience Kits</w:t>
      </w:r>
    </w:p>
    <w:p>
      <w:pPr>
        <w:spacing w:before="40" w:after="80"/>
      </w:pPr>
      <w:r>
        <w:rPr>
          <w:sz w:val="22"/>
          <w:szCs w:val="22"/>
        </w:rPr>
        <w:t xml:space="preserve">The signature retail category: branded kits tied to the Hub’s core restaurant concepts that recreate a vendor’s signature flavor profile at home. Each kit includes a marinade pouch, sauce, seasoning blend, recipe card, and one or two supporting pantry items. These kits give the Hub a distinct retail identity, create strong gifting and repeat-purchase opportunities, and extend brand loyalty beyond the dining visit. Examples include a Hub Signature wings kit, a Southern BBQ dry rub set, a green chile seasoning kit, and a NM cider pairing box.</w:t>
      </w:r>
    </w:p>
    <w:p>
      <w:pPr>
        <w:spacing w:before="100" w:after="60"/>
      </w:pPr>
      <w:r>
        <w:rPr>
          <w:b/>
          <w:sz w:val="22"/>
          <w:szCs w:val="22"/>
          <w:color w:val="14746F"/>
        </w:rPr>
        <w:t>2. Vendor Washout and Graduate Alumni Products</w:t>
      </w:r>
    </w:p>
    <w:p>
      <w:pPr>
        <w:spacing w:before="40" w:after="80"/>
      </w:pPr>
      <w:r>
        <w:rPr>
          <w:sz w:val="22"/>
          <w:szCs w:val="22"/>
        </w:rPr>
        <w:t xml:space="preserve">The gift shop serves a dual incubator function. For vendors who exit the incubator before graduation, the shop provides a structured outlet for remaining branded or shelf-stable inventory, recovering value that would otherwise be lost. For successful graduates who move into independent restaurants, the shop becomes a permanent “Hub Alumni” showcase — graduates can continue selling packaged sauces, spice blends, baking mixes, and signature pantry items under a dedicated alumni designation. This reinforces the incubator’s credibility, keeps successful brands visible in the ecosystem, and allows the Hub to participate in the economic upside of its graduate brands after they leave physical stall space.</w:t>
      </w:r>
    </w:p>
    <w:p>
      <w:pPr>
        <w:spacing w:before="100" w:after="60"/>
      </w:pPr>
      <w:r>
        <w:rPr>
          <w:b/>
          <w:sz w:val="22"/>
          <w:szCs w:val="22"/>
          <w:color w:val="14746F"/>
        </w:rPr>
        <w:t>3. Local and Regional New Mexico Pantry Goods</w:t>
      </w:r>
    </w:p>
    <w:p>
      <w:pPr>
        <w:spacing w:before="40" w:after="80"/>
      </w:pPr>
      <w:r>
        <w:rPr>
          <w:sz w:val="22"/>
          <w:szCs w:val="22"/>
        </w:rPr>
        <w:t xml:space="preserve">A curated selection of NM and borderland pantry staples that align naturally with the Hub’s culinary identity and tourism profile: Hatch chile products, local hot sauces, honey, biscochito mixes, piñon coffee, prickly pear goods, and regional apple products from the Sacramento Mountains and Velarde orchards (consistent with the cider bar’s heritage storytelling). This category strengthens community positioning and creates cross-promotional opportunities with regional producers — many of whom will already be supplying the Hub’s vendor stalls.</w:t>
      </w:r>
    </w:p>
    <w:p>
      <w:pPr>
        <w:spacing w:before="100" w:after="60"/>
      </w:pPr>
      <w:r>
        <w:rPr>
          <w:b/>
          <w:sz w:val="22"/>
          <w:szCs w:val="22"/>
          <w:color w:val="14746F"/>
        </w:rPr>
        <w:t>4. Bottled Sauces, Marinades, and Spice Blends</w:t>
      </w:r>
    </w:p>
    <w:p>
      <w:pPr>
        <w:spacing w:before="40" w:after="80"/>
      </w:pPr>
      <w:r>
        <w:rPr>
          <w:sz w:val="22"/>
          <w:szCs w:val="22"/>
        </w:rPr>
        <w:t xml:space="preserve">Smaller-format, high-turn retail items — bottled sauces, spice blends, dry rubs, and marinade pouches — inspired by individual vendor concepts. Marinade-in-a-bag formats are familiar to customers, easy to merchandise near point of exit, and naturally tied to the food experiences inside the hall. These create a low-barrier impulse purchase for first-time buyers and strong repeat-purchase behavior for regulars.</w:t>
      </w:r>
    </w:p>
    <w:p>
      <w:pPr>
        <w:spacing w:before="100" w:after="60"/>
      </w:pPr>
      <w:r>
        <w:rPr>
          <w:b/>
          <w:sz w:val="22"/>
          <w:szCs w:val="22"/>
          <w:color w:val="14746F"/>
        </w:rPr>
        <w:t>5. Branded Merchandise and Kitchen Tools</w:t>
      </w:r>
    </w:p>
    <w:p>
      <w:pPr>
        <w:spacing w:before="40" w:after="80"/>
      </w:pPr>
      <w:r>
        <w:rPr>
          <w:sz w:val="22"/>
          <w:szCs w:val="22"/>
        </w:rPr>
        <w:t xml:space="preserve">A modest, carefully edited selection of practical branded merchandise: aprons, tote bags, mugs, recipe booklets, and simple cooking tools. These should not dominate the assortment but contribute to average transaction size and create additional branding opportunities for event attendees, tourists, and Cider Club members. Merchandise should carry the Hub’s branding and reflect the culinary identity — not generic promotional items.</w:t>
      </w:r>
    </w:p>
    <w:p>
      <w:pPr>
        <w:spacing w:before="200" w:after="80"/>
      </w:pPr>
      <w:r>
        <w:rPr>
          <w:b/>
          <w:sz w:val="26"/>
          <w:szCs w:val="26"/>
          <w:color w:val="1B3A5C"/>
          <w:rFonts w:ascii="Georgia" w:hAnsi="Georgia"/>
        </w:rPr>
        <w:t>Operating Model</w:t>
      </w:r>
    </w:p>
    <w:p>
      <w:pPr>
        <w:spacing w:before="60" w:after="80"/>
      </w:pPr>
      <w:r>
        <w:rPr>
          <w:sz w:val="22"/>
          <w:szCs w:val="22"/>
        </w:rPr>
        <w:t xml:space="preserve">The gift shop is compact, curated, and low-labor. Positioned near the main exit along the primary circulation path, it captures impulse purchases from guests who have already formed a strong flavor memory during their visit. The assortment launches deliberately limited — the most distinctive, highest-margin, and easiest-to-explain items first — and expands as vendor relationships deepen and sales data confirms winners. Branded kits and pantry items can be assembled in the Hub’s commissary or back-of-house prep space; locally sourced packaged goods are purchased wholesale from regional suppliers. Inventory is reviewed quarterly to maintain freshness, protect margins, and avoid SKU complexity.</w:t>
      </w:r>
    </w:p>
    <w:p>
      <w:pPr>
        <w:spacing w:before="60" w:after="80"/>
      </w:pPr>
      <w:r>
        <w:rPr>
          <w:sz w:val="22"/>
          <w:szCs w:val="22"/>
        </w:rPr>
        <w:t xml:space="preserve">The retail program does not cannibalize stall-level food sales because it serves different use occasions — gifting, home cooking, pantry stocking, and tourism purchases — rather than competing for the same immediate dining decision. When properly merchandised, it adds revenue without adding the labor and infrastructure burden of another full restaurant stall.</w:t>
      </w:r>
    </w:p>
    <w:p>
      <w:pPr>
        <w:spacing w:before="200" w:after="80"/>
      </w:pPr>
      <w:r>
        <w:rPr>
          <w:b/>
          <w:sz w:val="26"/>
          <w:szCs w:val="26"/>
          <w:color w:val="1B3A5C"/>
          <w:rFonts w:ascii="Georgia" w:hAnsi="Georgia"/>
        </w:rPr>
        <w:t>Revenue Projections</w:t>
      </w:r>
    </w:p>
    <w:p>
      <w:pPr>
        <w:spacing w:before="60" w:after="80"/>
      </w:pPr>
      <w:r>
        <w:rPr>
          <w:sz w:val="22"/>
          <w:szCs w:val="22"/>
        </w:rPr>
        <w:t xml:space="preserve">At conservative assumptions — 30% of daily visitors purchasing one gift shop item at an average of $18 — and an estimated 200 visits/day in Year 1, the gift shop generates approximately $18,000–$35,000 in gross retail revenue annually. At Year 2 volume (300 visits/day, higher tourist penetration from OMDPNM and M2M co-marketing), the program scales to $30,000–$55,000/year. At 50–65% gross margins on branded kits and pantry goods, net contribution is meaningfully positive with minimal incremental labor. These figures are included in the financial model as a discrete revenue line under “Gift Shop and Retail Merchandising.”</w:t>
      </w:r>
    </w:p>
    <w:p>
      <w:pPr>
        <w:pStyle w:val="Heading2"/>
      </w:pPr>
      <w:r>
        <w:t>5.6 Retail Incubator Shelf</w:t>
      </w:r>
    </w:p>
    <w:p>
      <w:r>
        <w:t>The gift shop will also function as a retail incubator shelf where vendors can test shelf-stable sauces, spice blends, baked goods, meal kits, pantry goods, branded merchandise, and local producer products before investing in wholesale or e-commerce expansion.</w:t>
      </w:r>
    </w:p>
    <w:p>
      <w:r>
        <w:t>Participation will be governed by the vendor license agreement so retail activity is legally managed rather than informal. This creates a cohesive visitor experience while giving vendors another path to revenue and brand recognition.</w:t>
      </w:r>
    </w:p>
    <w:p>
      <w:pPr>
        <w:pStyle w:val="Heading2"/>
      </w:pPr>
      <w:r>
        <w:t>5.7 Regional Theme Nights and Signature Festival</w:t>
      </w:r>
    </w:p>
    <w:p>
      <w:r>
        <w:t>The Hub's event calendar will include rotating regional theme nights that create repeat-visit behavior and sponsor-friendly programming: Hatch chile nights, borderlands BBQ, Indigenous foods, Sonoran food events, New Mexican heritage nights, and global student nights.</w:t>
      </w:r>
    </w:p>
    <w:p>
      <w:r>
        <w:t>The annual Taste of Southern New Mexico festival will be positioned as the signature event for sponsors, tourism partners, local producers, and media. It can combine vendor booths, cider tastings, chef demonstrations, retail products, live music, and workforce program storytelling.</w:t>
      </w:r>
    </w:p>
    <w:p>
      <w:pPr>
        <w:pStyle w:val="Heading1"/>
        <w:pBdr>
          <w:bottom w:val="single" w:color="2563A8" w:sz="6" w:space="8"/>
        </w:pBdr>
        <w:spacing w:before="480" w:after="140"/>
      </w:pPr>
      <w:r>
        <w:rPr>
          <w:rFonts w:ascii="Arial" w:cs="Arial" w:eastAsia="Arial" w:hAnsi="Arial"/>
          <w:b/>
          <w:bCs/>
          <w:color w:val="1B3A5C"/>
          <w:sz w:val="36"/>
          <w:szCs w:val="36"/>
        </w:rPr>
        <w:t xml:space="preserve">6. Operations and Licensing</w:t>
      </w:r>
    </w:p>
    <w:p>
      <w:pPr>
        <w:spacing w:before="60" w:after="80"/>
      </w:pPr>
      <w:r>
        <w:rPr>
          <w:rFonts w:ascii="Arial" w:cs="Arial" w:eastAsia="Arial" w:hAnsi="Arial"/>
          <w:color w:val="1A1A1A"/>
          <w:sz w:val="22"/>
          <w:szCs w:val="22"/>
        </w:rPr>
        <w:t xml:space="preserve">The Hub is structured to be operationally clear, NMED-compliant, and regulatory-sound from Day 1. Each stall has its own dedicated kitchen and is permitted as its own food establishment through the NM Environment Department -- which isolates any health-code issues to individual operators and maintains quality accountability. A unified POS system supports multi-vendor ordering so guests check out once across multiple stalls.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6.1 Hub-Level Licensing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800"/>
        <w:gridCol w:w="1700"/>
        <w:gridCol w:w="8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License / Permit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Authority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CRS Tax Registration</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Taxation and Revenue Dept.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REQUIRED FIRST (prerequisite for liquor license)</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Critical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Business Registration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 lascruces.gov Accela Portal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$50-$150/yr</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Building Permit (Buildout)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Community Development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Varies by valuation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0-8 business days processing</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Retail Food Permit (Hub-level)</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Environment Dept. Food Safety Bureau</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$200-$500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 weeks</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Clearance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Planning Dept.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weeks -- verify BEFORE lease execution. Under Realize Las Cruces (February 2025), food hall/restaurant use is permitted in Urban Character Areas (downtown) by right in Commercial Retail zones and with conditional approval in NH-3, Mixed-Use Overlay, and Town Center designations -- verify specific parcel zoning using the City's 2025 Zoning Code ArcGIS layer at las-cruces.maps.arcgis.com</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1800"/>
          </w:tcPr>
          <w:p>
            <w:pPr>
              <w:spacing w:before="60" w:after="60"/>
            </w:pPr>
            <w:r>
              <w:rPr>
                <w:sz w:val="18"/>
                <w:szCs w:val="18"/>
              </w:rPr>
              <w:t>NM Winegrower’s License (NMSA 60-6A-11) — Alt. to Dispenser</w:t>
            </w:r>
          </w:p>
        </w:tc>
        <w:tc>
          <w:tcPr>
            <w:tcW w:type="dxa" w:w="1400"/>
          </w:tcPr>
          <w:p>
            <w:pPr>
              <w:spacing w:before="60" w:after="60"/>
            </w:pPr>
            <w:r>
              <w:rPr>
                <w:sz w:val="18"/>
                <w:szCs w:val="18"/>
              </w:rPr>
              <w:t>NM RLD ABC (NM-PLUS portal)</w:t>
            </w:r>
          </w:p>
        </w:tc>
        <w:tc>
          <w:tcPr>
            <w:tcW w:type="dxa" w:w="1600"/>
          </w:tcPr>
          <w:p>
            <w:pPr>
              <w:spacing w:before="60" w:after="60"/>
            </w:pPr>
            <w:r>
              <w:rPr>
                <w:sz w:val="18"/>
                <w:szCs w:val="18"/>
              </w:rPr>
              <w:t>$25/year (under 5,000 gal/yr)</w:t>
            </w:r>
          </w:p>
        </w:tc>
        <w:tc>
          <w:tcPr>
            <w:tcW w:type="dxa" w:w="1800"/>
          </w:tcPr>
          <w:p>
            <w:pPr>
              <w:spacing w:before="60" w:after="60"/>
            </w:pPr>
            <w:r>
              <w:rPr>
                <w:sz w:val="18"/>
                <w:szCs w:val="18"/>
              </w:rPr>
              <w:t>30–60 days — evaluate Month 1</w:t>
            </w:r>
          </w:p>
        </w:tc>
        <w:tc>
          <w:tcPr>
            <w:tcW w:type="dxa" w:w="2760"/>
          </w:tcPr>
          <w:p>
            <w:pPr>
              <w:spacing w:before="60" w:after="60"/>
            </w:pPr>
            <w:r>
              <w:rPr>
                <w:sz w:val="18"/>
                <w:szCs w:val="18"/>
              </w:rPr>
              <w:t>LOWER-COST ALTERNATIVE: Winegrower’s License permits production + retail sale of cider under 5,000 gal/yr at only $25/yr — bypassing the Dispenser quota system entirely. Confirm with NM RLD ABC attorney whether Hub’s specific retail pouring model qualifies before Month 1 filing.</w:t>
            </w:r>
          </w:p>
        </w:tc>
      </w:tr>
      <w:tr>
        <w:tc>
          <w:tcPr>
            <w:tcW w:type="dxa" w:w="1800"/>
          </w:tcPr>
          <w:p>
            <w:pPr>
              <w:spacing w:before="60" w:after="60"/>
            </w:pPr>
            <w:r>
              <w:rPr>
                <w:sz w:val="18"/>
                <w:szCs w:val="18"/>
              </w:rPr>
              <w:t>TTB Federal Permit (only if on-site cider production)</w:t>
            </w:r>
          </w:p>
        </w:tc>
        <w:tc>
          <w:tcPr>
            <w:tcW w:type="dxa" w:w="1400"/>
          </w:tcPr>
          <w:p>
            <w:pPr>
              <w:spacing w:before="60" w:after="60"/>
            </w:pPr>
            <w:r>
              <w:rPr>
                <w:sz w:val="18"/>
                <w:szCs w:val="18"/>
              </w:rPr>
              <w:t>TTB, U.S. Dept. of Treasury (ttb.gov/permits-online)</w:t>
            </w:r>
          </w:p>
        </w:tc>
        <w:tc>
          <w:tcPr>
            <w:tcW w:type="dxa" w:w="1600"/>
          </w:tcPr>
          <w:p>
            <w:pPr>
              <w:spacing w:before="60" w:after="60"/>
            </w:pPr>
            <w:r>
              <w:rPr>
                <w:sz w:val="18"/>
                <w:szCs w:val="18"/>
              </w:rPr>
              <w:t>FREE application; federal excise tax on production volume</w:t>
            </w:r>
          </w:p>
        </w:tc>
        <w:tc>
          <w:tcPr>
            <w:tcW w:type="dxa" w:w="1800"/>
          </w:tcPr>
          <w:p>
            <w:pPr>
              <w:spacing w:before="60" w:after="60"/>
            </w:pPr>
            <w:r>
              <w:rPr>
                <w:sz w:val="18"/>
                <w:szCs w:val="18"/>
              </w:rPr>
              <w:t>60–120 days — BEGIN Month 1 if on-site production</w:t>
            </w:r>
          </w:p>
        </w:tc>
        <w:tc>
          <w:tcPr>
            <w:tcW w:type="dxa" w:w="2760"/>
          </w:tcPr>
          <w:p>
            <w:pPr>
              <w:spacing w:before="60" w:after="60"/>
            </w:pPr>
            <w:r>
              <w:rPr>
                <w:sz w:val="18"/>
                <w:szCs w:val="18"/>
              </w:rPr>
              <w:t>Required ONLY if Hub produces or blends cider on-site. NOT required if Hub pours only pre-produced NM ciders from licensed producers. If on-site production is planned, apply at ttb.gov before or concurrently with NM license. Apply for Brewer’s Notice (beer/cider) or Winery Permit (fruit wine/cider) depending on production method.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Dispenser's Liquor License (Cider Bar)</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RLD ABC Division via NM-PLUS portal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$1,050-$1,300/yr + possible quota purchase $5K-$50K+</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30-120 days -- BEGIN MONTH 1</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Most Critical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Fire Dept. Permit and Suppression Inspection</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Fire Dept.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$100-$300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ADA Compliance Certification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Building Dept.</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buildout</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Music and Entertainment License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$50-$200/yr</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first programming event</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6.2 Vendor-Level Licensing (Each Stall Individually)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Permit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 Applies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 individually</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$50-$150/yr</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provides application guidance in incubator onboarding curriculum</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Retail Food Permit (per stall)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vendor individually</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$200-$500 per stall</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stall permitted separately -- isolates compliance issues; staggered per cohort start dates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Handler Cards (all food-handling staff)</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employee within 30 days of hire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$15-$30 per card (3-year validity)</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statewide; Hub provides group training sessions to minimize cost and ensure compliance</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ServSafe Manager Certification</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Designated stall manager or operator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$150-$200 per certification</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law requires one certified manager on duty at all times; Hub facilitates group certification sessions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CRS Gross Receipts Tax Registration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 independently</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Vendors report their own gross receipts; Hub provides financial coaching on tax obligations</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Responsible Beverage Service Training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staff handling alcohol</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$20-$40 per staff member</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Mandatory per NM ABC Division; all cider bar staff must complete approved training before opening</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6.3 Key Operational Systems and Standards</w:t>
      </w:r>
    </w:p>
    <w:p>
      <w:pPr>
        <w:pStyle w:val="ListParagraph"/>
        <w:numPr>
          <w:ilvl w:val="0"/>
          <w:numId w:val="2"/>
        </w:numPr>
        <w:spacing w:before="40" w:after="40"/>
      </w:pPr>
      <w:r>
        <w:rPr>
          <w:rFonts w:ascii="Arial" w:cs="Arial" w:eastAsia="Arial" w:hAnsi="Arial"/>
          <w:b/>
          <w:bCs/>
          <w:color w:val="1B3A5C"/>
          <w:sz w:val="22"/>
          <w:szCs w:val="22"/>
        </w:rPr>
        <w:t xml:space="preserve">Unified POS Platform: </w:t>
      </w:r>
      <w:r>
        <w:rPr>
          <w:rFonts w:ascii="Arial" w:cs="Arial" w:eastAsia="Arial" w:hAnsi="Arial"/>
          <w:color w:val="1A1A1A"/>
          <w:sz w:val="22"/>
          <w:szCs w:val="22"/>
        </w:rPr>
        <w:t xml:space="preserve">Hub-wide multi-vendor ordering system; guests can check out once across multiple stalls; hub receives unified reporting for percentage-rent calculation accuracy</w:t>
      </w:r>
    </w:p>
    <w:p>
      <w:pPr>
        <w:pStyle w:val="ListParagraph"/>
        <w:numPr>
          <w:ilvl w:val="0"/>
          <w:numId w:val="2"/>
        </w:numPr>
        <w:spacing w:before="40" w:after="40"/>
      </w:pPr>
      <w:r>
        <w:rPr>
          <w:rFonts w:ascii="Arial" w:cs="Arial" w:eastAsia="Arial" w:hAnsi="Arial"/>
          <w:b/>
          <w:bCs/>
          <w:color w:val="1B3A5C"/>
          <w:sz w:val="22"/>
          <w:szCs w:val="22"/>
        </w:rPr>
        <w:t xml:space="preserve">Quality Gate Protocol: </w:t>
      </w:r>
      <w:r>
        <w:rPr>
          <w:rFonts w:ascii="Arial" w:cs="Arial" w:eastAsia="Arial" w:hAnsi="Arial"/>
          <w:color w:val="1A1A1A"/>
          <w:sz w:val="22"/>
          <w:szCs w:val="22"/>
        </w:rPr>
        <w:t xml:space="preserve">4.0+ Google rating standard; removal trigger below 3.5 for 8+ consecutive weeks; weekly spot-check tastings by founder/CEO; monthly P&amp;L review with hub management; 60-day notice for removal per license agreement</w:t>
      </w:r>
    </w:p>
    <w:p>
      <w:pPr>
        <w:pStyle w:val="ListParagraph"/>
        <w:numPr>
          <w:ilvl w:val="0"/>
          <w:numId w:val="2"/>
        </w:numPr>
        <w:spacing w:before="40" w:after="40"/>
      </w:pPr>
      <w:r>
        <w:rPr>
          <w:rFonts w:ascii="Arial" w:cs="Arial" w:eastAsia="Arial" w:hAnsi="Arial"/>
          <w:b/>
          <w:bCs/>
          <w:color w:val="1B3A5C"/>
          <w:sz w:val="22"/>
          <w:szCs w:val="22"/>
        </w:rPr>
        <w:t xml:space="preserve">Allergen Compliance: </w:t>
      </w:r>
      <w:r>
        <w:rPr>
          <w:rFonts w:ascii="Arial" w:cs="Arial" w:eastAsia="Arial" w:hAnsi="Arial"/>
          <w:color w:val="1A1A1A"/>
          <w:sz w:val="22"/>
          <w:szCs w:val="22"/>
        </w:rPr>
        <w:t xml:space="preserve">All 9 FDA-recognized allergens (including newly added sesame) displayed on compliant posters at all required points; verified monthly in quality gate protocol</w:t>
      </w:r>
    </w:p>
    <w:p>
      <w:pPr>
        <w:pStyle w:val="ListParagraph"/>
        <w:numPr>
          <w:ilvl w:val="0"/>
          <w:numId w:val="2"/>
        </w:numPr>
        <w:spacing w:before="40" w:after="40"/>
      </w:pPr>
      <w:r>
        <w:rPr>
          <w:rFonts w:ascii="Arial" w:cs="Arial" w:eastAsia="Arial" w:hAnsi="Arial"/>
          <w:b/>
          <w:bCs/>
          <w:color w:val="1B3A5C"/>
          <w:sz w:val="22"/>
          <w:szCs w:val="22"/>
        </w:rPr>
        <w:t xml:space="preserve">Insurance Verification: </w:t>
      </w:r>
      <w:r>
        <w:rPr>
          <w:rFonts w:ascii="Arial" w:cs="Arial" w:eastAsia="Arial" w:hAnsi="Arial"/>
          <w:color w:val="1A1A1A"/>
          <w:sz w:val="22"/>
          <w:szCs w:val="22"/>
        </w:rPr>
        <w:t xml:space="preserve">Each vendor's commercial general liability insurance verified as a condition of license execution; hub maintains umbrella policy covering all common areas and hub-level operations</w:t>
      </w:r>
    </w:p>
    <w:p>
      <w:pPr>
        <w:pStyle w:val="ListParagraph"/>
        <w:numPr>
          <w:ilvl w:val="0"/>
          <w:numId w:val="2"/>
        </w:numPr>
        <w:spacing w:before="40" w:after="40"/>
      </w:pPr>
      <w:r>
        <w:rPr>
          <w:rFonts w:ascii="Arial" w:cs="Arial" w:eastAsia="Arial" w:hAnsi="Arial"/>
          <w:b/>
          <w:bCs/>
          <w:color w:val="1B3A5C"/>
          <w:sz w:val="22"/>
          <w:szCs w:val="22"/>
        </w:rPr>
        <w:t xml:space="preserve">Staggered Scheduling: </w:t>
      </w:r>
      <w:r>
        <w:rPr>
          <w:rFonts w:ascii="Arial" w:cs="Arial" w:eastAsia="Arial" w:hAnsi="Arial"/>
          <w:color w:val="1A1A1A"/>
          <w:sz w:val="22"/>
          <w:szCs w:val="22"/>
        </w:rPr>
        <w:t xml:space="preserve">Incubator license start dates offset by 3-6 months; permanent stall renewal dates also staggered; prevents any simultaneous mass departure scenario</w:t>
      </w:r>
    </w:p>
    <w:p>
      <w:pPr>
        <w:pStyle w:val="ListParagraph"/>
        <w:numPr>
          <w:ilvl w:val="0"/>
          <w:numId w:val="2"/>
        </w:numPr>
        <w:spacing w:before="40" w:after="40"/>
      </w:pPr>
      <w:r>
        <w:rPr>
          <w:rFonts w:ascii="Arial" w:cs="Arial" w:eastAsia="Arial" w:hAnsi="Arial"/>
          <w:b/>
          <w:bCs/>
          <w:color w:val="1B3A5C"/>
          <w:sz w:val="22"/>
          <w:szCs w:val="22"/>
        </w:rPr>
        <w:t xml:space="preserve">Hours of Operation: </w:t>
      </w:r>
      <w:r>
        <w:rPr>
          <w:rFonts w:ascii="Arial" w:cs="Arial" w:eastAsia="Arial" w:hAnsi="Arial"/>
          <w:color w:val="1A1A1A"/>
          <w:sz w:val="22"/>
          <w:szCs w:val="22"/>
        </w:rPr>
        <w:t xml:space="preserve">Sunday-Thursday 11am-9pm; Friday-Saturday 11am-10pm; 365 days/year; climate-controlled indoor operation eliminates weather dependency entirely</w:t>
      </w:r>
    </w:p>
    <w:p>
      <w:pPr>
        <w:numPr>
          <w:ilvl w:val="0"/>
          <w:numId w:val="3"/>
        </w:numPr>
        <w:spacing w:before="60" w:after="60"/>
      </w:pPr>
      <w:r>
        <w:rPr>
          <w:b/>
          <w:sz w:val="22"/>
          <w:szCs w:val="22"/>
          <w:rFonts w:ascii="Arial" w:hAnsi="Arial" w:cs="Arial"/>
        </w:rPr>
        <w:t xml:space="preserve">Mobile Ordering and Digital Commerce: </w:t>
      </w:r>
      <w:r>
        <w:rPr>
          <w:sz w:val="22"/>
          <w:szCs w:val="22"/>
          <w:rFonts w:ascii="Arial" w:hAnsi="Arial" w:cs="Arial"/>
        </w:rPr>
        <w:t>Guest-facing mobile ordering platform for pickup and to-go orders across all vendor stalls in one digital experience. Reduces counter congestion, supports off-premise sales, enables loyalty rewards and push notifications, and expands Hub reach to NMSU students, downtown office workers, families, and El Paso day-trippers. Integrates with Tabski POS for live order routing per stall KDS. Also supports gift shop retail, event pre-sales, and vendor promotions. See Section 6.4 for full platform strategy.</w:t>
      </w:r>
    </w:p>
    <w:p>
      <w:r>
        <w:br w:type="page"/>
      </w:r>
    </w:p>
    <w:p>
      <w:pPr>
        <w:spacing w:before="480" w:after="120"/>
        <w:pBdr>
          <w:bottom w:val="single" w:color="8B3A2E" w:sz="8" w:space="8"/>
        </w:pBdr>
      </w:pPr>
      <w:r>
        <w:rPr>
          <w:b/>
          <w:sz w:val="36"/>
          <w:szCs w:val="36"/>
          <w:color w:val="8B3A2E"/>
          <w:rFonts w:ascii="Georgia" w:hAnsi="Georgia"/>
        </w:rPr>
        <w:t>6.4 Mobile Ordering and Digital Commerce Platform</w:t>
      </w:r>
    </w:p>
    <w:p>
      <w:pPr>
        <w:spacing w:before="120" w:after="80"/>
      </w:pPr>
      <w:r>
        <w:rPr>
          <w:b/>
          <w:sz w:val="24"/>
          <w:szCs w:val="24"/>
          <w:color w:val="1B3A5C"/>
          <w:rFonts w:ascii="Georgia" w:hAnsi="Georgia"/>
        </w:rPr>
        <w:t>Strategic Purpose</w:t>
      </w:r>
    </w:p>
    <w:p>
      <w:pPr>
        <w:spacing w:before="60" w:after="80"/>
      </w:pPr>
      <w:r>
        <w:rPr>
          <w:sz w:val="22"/>
          <w:szCs w:val="22"/>
        </w:rPr>
        <w:t xml:space="preserve">The Hub’s Tabski POS handles the back-end of multi-vendor ordering — automated percentage-rent collection, per-stall KDS routing, and unified sales reporting. The mobile ordering platform is the consumer-facing layer on top of that infrastructure: a guest app that allows customers to browse all vendor menus, place pickup and to-go orders from multiple stalls in a single digital transaction, and manage loyalty rewards — all before or during their visit. The two systems work together. Tabski handles vendor-side operations; the app handles the guest relationship.</w:t>
      </w:r>
    </w:p>
    <w:p>
      <w:pPr>
        <w:spacing w:before="60" w:after="80"/>
      </w:pPr>
      <w:r>
        <w:rPr>
          <w:sz w:val="22"/>
          <w:szCs w:val="22"/>
        </w:rPr>
        <w:t xml:space="preserve">The platform is treated as core operating infrastructure, not a convenience feature. It materially expands the Hub’s revenue capture, improves throughput, and strengthens the long-term customer relationship in ways that a counter-only ordering model cannot replicate.</w:t>
      </w:r>
    </w:p>
    <w:p>
      <w:pPr>
        <w:spacing w:before="120" w:after="80"/>
      </w:pPr>
      <w:r>
        <w:rPr>
          <w:b/>
          <w:sz w:val="24"/>
          <w:szCs w:val="24"/>
          <w:color w:val="1B3A5C"/>
          <w:rFonts w:ascii="Georgia" w:hAnsi="Georgia"/>
        </w:rPr>
        <w:t>Operational Benefits</w:t>
      </w:r>
    </w:p>
    <w:p>
      <w:pPr>
        <w:spacing w:before="60" w:after="60"/>
        <w:numPr>
          <w:ilvl w:val="0"/>
          <w:numId w:val="3"/>
        </w:numPr>
      </w:pPr>
      <w:r>
        <w:rPr>
          <w:b/>
          <w:sz w:val="22"/>
          <w:szCs w:val="22"/>
        </w:rPr>
        <w:t xml:space="preserve">Throughput: </w:t>
      </w:r>
      <w:r>
        <w:rPr>
          <w:sz w:val="22"/>
          <w:szCs w:val="22"/>
        </w:rPr>
        <w:t>Pre-queued digital orders reduce counter congestion during lunch rushes and weekend peaks. Vendors receive orders via KDS before guests arrive, allowing preparation to begin immediately. For a 13-stall hall with simultaneous peak demand, this meaningfully improves throughput and perceived wait time without adding staff.</w:t>
      </w:r>
    </w:p>
    <w:p>
      <w:pPr>
        <w:spacing w:before="60" w:after="60"/>
        <w:numPr>
          <w:ilvl w:val="0"/>
          <w:numId w:val="3"/>
        </w:numPr>
      </w:pPr>
      <w:r>
        <w:rPr>
          <w:b/>
          <w:sz w:val="22"/>
          <w:szCs w:val="22"/>
        </w:rPr>
        <w:t xml:space="preserve">Order Accuracy: </w:t>
      </w:r>
      <w:r>
        <w:rPr>
          <w:sz w:val="22"/>
          <w:szCs w:val="22"/>
        </w:rPr>
        <w:t>Digital orders eliminate verbal miscommunication at the counter. Modifications, allergen flags, and special instructions are captured in writing and routed directly to the stall’s kitchen display screen, reducing waste and remakes.</w:t>
      </w:r>
    </w:p>
    <w:p>
      <w:pPr>
        <w:spacing w:before="60" w:after="60"/>
        <w:numPr>
          <w:ilvl w:val="0"/>
          <w:numId w:val="3"/>
        </w:numPr>
      </w:pPr>
      <w:r>
        <w:rPr>
          <w:b/>
          <w:sz w:val="22"/>
          <w:szCs w:val="22"/>
        </w:rPr>
        <w:t xml:space="preserve">Forecasting and Labor: </w:t>
      </w:r>
      <w:r>
        <w:rPr>
          <w:sz w:val="22"/>
          <w:szCs w:val="22"/>
        </w:rPr>
        <w:t>Digital order history creates reliable demand data for vendors: which items sell by day, time, and weather; when to prep more; when to reduce. This data is valuable for coaching conversations during monthly P&amp;L reviews and for optimizing labor scheduling across peak and off-peak periods.</w:t>
      </w:r>
    </w:p>
    <w:p>
      <w:pPr>
        <w:spacing w:before="120" w:after="80"/>
      </w:pPr>
      <w:r>
        <w:rPr>
          <w:b/>
          <w:sz w:val="24"/>
          <w:szCs w:val="24"/>
          <w:color w:val="1B3A5C"/>
          <w:rFonts w:ascii="Georgia" w:hAnsi="Georgia"/>
        </w:rPr>
        <w:t>Revenue Impact</w:t>
      </w:r>
    </w:p>
    <w:p>
      <w:pPr>
        <w:spacing w:before="60" w:after="60"/>
        <w:numPr>
          <w:ilvl w:val="0"/>
          <w:numId w:val="3"/>
        </w:numPr>
      </w:pPr>
      <w:r>
        <w:rPr>
          <w:b/>
          <w:sz w:val="22"/>
          <w:szCs w:val="22"/>
        </w:rPr>
        <w:t xml:space="preserve">Off-Premise Expansion: </w:t>
      </w:r>
      <w:r>
        <w:rPr>
          <w:sz w:val="22"/>
          <w:szCs w:val="22"/>
        </w:rPr>
        <w:t>Pickup and to-go ordering captures revenue from customers who prefer not to dine in — NMSU students ordering between classes, downtown office workers on compressed lunch breaks, families with young children, and El Paso day-trippers who want to grab food before heading home on I-10. These customers represent genuine demand that a walk-up counter alone cannot efficiently serve.</w:t>
      </w:r>
    </w:p>
    <w:p>
      <w:pPr>
        <w:spacing w:before="60" w:after="60"/>
        <w:numPr>
          <w:ilvl w:val="0"/>
          <w:numId w:val="3"/>
        </w:numPr>
      </w:pPr>
      <w:r>
        <w:rPr>
          <w:b/>
          <w:sz w:val="22"/>
          <w:szCs w:val="22"/>
        </w:rPr>
        <w:t xml:space="preserve">Higher Average Ticket: </w:t>
      </w:r>
      <w:r>
        <w:rPr>
          <w:sz w:val="22"/>
          <w:szCs w:val="22"/>
        </w:rPr>
        <w:t>Digital ordering naturally supports upsells, combo suggestions, and add-ons (“Add a cider flight? Add a gift shop item to your pickup?”) that counter staff cannot consistently execute during busy periods. Industry data across multi-vendor food halls consistently shows 12–18% higher average ticket on digital vs. counter orders.</w:t>
      </w:r>
    </w:p>
    <w:p>
      <w:pPr>
        <w:spacing w:before="60" w:after="60"/>
        <w:numPr>
          <w:ilvl w:val="0"/>
          <w:numId w:val="3"/>
        </w:numPr>
      </w:pPr>
      <w:r>
        <w:rPr>
          <w:b/>
          <w:sz w:val="22"/>
          <w:szCs w:val="22"/>
        </w:rPr>
        <w:t xml:space="preserve">Direct Revenue from Platform: </w:t>
      </w:r>
      <w:r>
        <w:rPr>
          <w:sz w:val="22"/>
          <w:szCs w:val="22"/>
        </w:rPr>
        <w:t>A modest convenience fee on digital orders (e.g., $0.50–$1.00 per transaction) generates direct Hub revenue. At 30–50 digital orders per day in Year 1 (15–25% of estimated daily transactions), this produces $5,000–$15,000 annually — a small but incremental contribution that scales with volume.</w:t>
      </w:r>
    </w:p>
    <w:p>
      <w:pPr>
        <w:spacing w:before="120" w:after="80"/>
      </w:pPr>
      <w:r>
        <w:rPr>
          <w:b/>
          <w:sz w:val="24"/>
          <w:szCs w:val="24"/>
          <w:color w:val="1B3A5C"/>
          <w:rFonts w:ascii="Georgia" w:hAnsi="Georgia"/>
        </w:rPr>
        <w:t>Cross-Category Integration</w:t>
      </w:r>
    </w:p>
    <w:p>
      <w:pPr>
        <w:spacing w:before="60" w:after="80"/>
      </w:pPr>
      <w:r>
        <w:rPr>
          <w:sz w:val="22"/>
          <w:szCs w:val="22"/>
        </w:rPr>
        <w:t xml:space="preserve">The platform’s value compounds across the Hub’s other revenue streams. It can sell gift shop products (Section 5.5) for add-on or standalone retail pickup. It can manage event pre-sales and Cider Club member early access. It can push targeted promotions tied to seasonal vendor menus, new incubator launches, and OMDPNM-tied tourism campaigns (e.g., “Order ahead for your post-hike lunch”). This cross-category capability makes the app a unified customer engagement platform, not a single-function ordering utility.</w:t>
      </w:r>
    </w:p>
    <w:p>
      <w:pPr>
        <w:spacing w:before="120" w:after="80"/>
      </w:pPr>
      <w:r>
        <w:rPr>
          <w:b/>
          <w:sz w:val="24"/>
          <w:szCs w:val="24"/>
          <w:color w:val="1B3A5C"/>
          <w:rFonts w:ascii="Georgia" w:hAnsi="Georgia"/>
        </w:rPr>
        <w:t>Loyalty and Retention</w:t>
      </w:r>
    </w:p>
    <w:p>
      <w:pPr>
        <w:spacing w:before="60" w:after="80"/>
      </w:pPr>
      <w:r>
        <w:rPr>
          <w:sz w:val="22"/>
          <w:szCs w:val="22"/>
        </w:rPr>
        <w:t xml:space="preserve">The app creates a durable post-visit relationship through loyalty rewards, digital offers, and push notifications tied to events, seasonal menus, and new vendor launches. Unlike a walk-up customer who leaves no data, an app user creates an identifiable profile that the Hub can engage repeatedly. For a destination food hall in a smaller metro like Las Cruces, converting a first-time visitor into a regular depends on staying top of mind between visits — and a loyalty-linked app is the most cost-effective tool available for that job.</w:t>
      </w:r>
    </w:p>
    <w:p>
      <w:pPr>
        <w:spacing w:before="120" w:after="80"/>
      </w:pPr>
      <w:r>
        <w:rPr>
          <w:b/>
          <w:sz w:val="24"/>
          <w:szCs w:val="24"/>
          <w:color w:val="1B3A5C"/>
          <w:rFonts w:ascii="Georgia" w:hAnsi="Georgia"/>
        </w:rPr>
        <w:t>Tabski Integration Note</w:t>
      </w:r>
    </w:p>
    <w:p>
      <w:pPr>
        <w:spacing w:before="60" w:after="80"/>
      </w:pPr>
      <w:r>
        <w:rPr>
          <w:sz w:val="22"/>
          <w:szCs w:val="22"/>
        </w:rPr>
        <w:t xml:space="preserve">Tabski’s native multi-vendor architecture supports third-party app integrations and online ordering modules. Before finalizing the digital commerce vendor selection, confirm with Tabski whether their online ordering layer natively supports the Hub’s multi-vendor checkout model, or whether a third-party platform (e.g., Olo, Lunchbox, or a white-label food hall app) integrates via Tabski’s API. The commissary kitchen component uses The Food Corridor for scheduling — the mobile ordering platform applies only to the food hall vendor stalls and retail programs. Full technical evaluation is recommended in Phase 2 (Months 4–7) as part of the Tabski implementation scope. See Supplement F for the full POS comparison and cost model.</w:t>
      </w:r>
    </w:p>
    <w:p>
      <w:pPr>
        <w:spacing w:before="480" w:after="120"/>
        <w:pBdr>
          <w:bottom w:val="single" w:color="8B3A2E" w:sz="8" w:space="8"/>
        </w:pBdr>
      </w:pPr>
      <w:r>
        <w:rPr>
          <w:b/>
          <w:sz w:val="36"/>
          <w:szCs w:val="36"/>
          <w:color w:val="8B3A2E"/>
          <w:rFonts w:ascii="Georgia" w:hAnsi="Georgia"/>
        </w:rPr>
        <w:t>6.5 Membership Eligibility and Requirements</w:t>
      </w:r>
    </w:p>
    <w:p>
      <w:pPr>
        <w:spacing w:before="100" w:after="80"/>
      </w:pPr>
      <w:r>
        <w:rPr>
          <w:sz w:val="22"/>
          <w:szCs w:val="22"/>
        </w:rPr>
        <w:t xml:space="preserve">The Hub’s shared kitchen and incubator facilities operate in a highly regulated environment. To protect public health, maintain strong relationships with the New Mexico Environment Department (NMED) and the City of Las Cruces, and manage risk for grantors and investors, every kitchen user must meet a standardized set of membership requirements prior to accessing the facility. These requirements mirror best-practice New Mexico commercial kitchens, specifically The Kitchen Table Santa Fe (313 Camino Alire, Santa Fe — 2023 Santa Fe Chamber Business of the Year, 2024 Edible Magazine Local Hero Award) and the SVEDC Mixing Bowl program in Albuquerque’s South Valley.</w:t>
      </w:r>
    </w:p>
    <w:p>
      <w:pPr>
        <w:spacing w:before="80" w:after="40"/>
      </w:pPr>
      <w:r>
        <w:rPr>
          <w:b/>
          <w:sz w:val="22"/>
          <w:szCs w:val="22"/>
        </w:rPr>
        <w:t>Each member business must:</w:t>
      </w:r>
    </w:p>
    <w:p>
      <w:pPr>
        <w:numPr>
          <w:ilvl w:val="0"/>
          <w:numId w:val="3"/>
        </w:numPr>
        <w:spacing w:before="40" w:after="40"/>
      </w:pPr>
      <w:r>
        <w:rPr>
          <w:sz w:val="22"/>
          <w:szCs w:val="22"/>
        </w:rPr>
        <w:t xml:space="preserve">Sign a Hub Membership Agreement and provide a refundable security deposit of $200 (benchmarked to The Kitchen Table Santa Fe’s standard deposit), payable at the time of signing.</w:t>
      </w:r>
    </w:p>
    <w:p>
      <w:pPr>
        <w:numPr>
          <w:ilvl w:val="0"/>
          <w:numId w:val="3"/>
        </w:numPr>
        <w:spacing w:before="40" w:after="40"/>
      </w:pPr>
      <w:r>
        <w:rPr>
          <w:sz w:val="22"/>
          <w:szCs w:val="22"/>
        </w:rPr>
        <w:t xml:space="preserve">Designate at least one person with a valid Food Manager’s certificate recognized by the State of New Mexico (e.g., National Registry of Food Safety Professionals, ServSafe, or NM Restaurant Association courses).</w:t>
      </w:r>
    </w:p>
    <w:p>
      <w:pPr>
        <w:numPr>
          <w:ilvl w:val="0"/>
          <w:numId w:val="3"/>
        </w:numPr>
        <w:spacing w:before="40" w:after="40"/>
      </w:pPr>
      <w:r>
        <w:rPr>
          <w:sz w:val="22"/>
          <w:szCs w:val="22"/>
        </w:rPr>
        <w:t xml:space="preserve">Maintain a current New Mexico Combined Reporting System (CRS) tax registration number issued by the New Mexico Department of Taxation and Revenue.</w:t>
      </w:r>
    </w:p>
    <w:p>
      <w:pPr>
        <w:numPr>
          <w:ilvl w:val="0"/>
          <w:numId w:val="3"/>
        </w:numPr>
        <w:spacing w:before="40" w:after="40"/>
      </w:pPr>
      <w:r>
        <w:rPr>
          <w:sz w:val="22"/>
          <w:szCs w:val="22"/>
        </w:rPr>
        <w:t xml:space="preserve">Hold an active New Mexico Environment Department food permit appropriate to their operation (fixed stall, ghost kitchen, or mobile unit). The Hub provides templates and technical assistance modeled on The Kitchen Table Santa Fe’s permit support process.</w:t>
      </w:r>
    </w:p>
    <w:p>
      <w:pPr>
        <w:numPr>
          <w:ilvl w:val="0"/>
          <w:numId w:val="3"/>
        </w:numPr>
        <w:spacing w:before="40" w:after="40"/>
      </w:pPr>
      <w:r>
        <w:rPr>
          <w:sz w:val="22"/>
          <w:szCs w:val="22"/>
        </w:rPr>
        <w:t xml:space="preserve">Carry a commercial general liability insurance policy with a minimum coverage of $1,000,000 per occurrence and list the Hub’s operating entity as an additional insured for the duration of facility use — consistent with The Kitchen Table Santa Fe’s standard.</w:t>
      </w:r>
    </w:p>
    <w:p>
      <w:pPr>
        <w:numPr>
          <w:ilvl w:val="0"/>
          <w:numId w:val="3"/>
        </w:numPr>
        <w:spacing w:before="40" w:after="80"/>
      </w:pPr>
      <w:r>
        <w:rPr>
          <w:sz w:val="22"/>
          <w:szCs w:val="22"/>
        </w:rPr>
        <w:t xml:space="preserve">Maintain a valid local business license from the City of Las Cruces (or the member’s home municipality, as applicable) — mirroring the City of Santa Fe business license requirement at The Kitchen Table.</w:t>
      </w:r>
    </w:p>
    <w:p>
      <w:pPr>
        <w:spacing w:before="60" w:after="80"/>
      </w:pPr>
      <w:r>
        <w:rPr>
          <w:sz w:val="22"/>
          <w:szCs w:val="22"/>
        </w:rPr>
        <w:t xml:space="preserve">By standardizing these requirements at the point of entry, the Hub ensures that every operator in the building is fully licensed, insured, and inspection-ready before they ever turn on a burner. This reduces regulatory risk, streamlines health department inspections, and creates a predictable, professional operating environment for all vendors. The checklist approach translates complex regulatory requirements into a clear, repeatable process — the same approach already proven at The Kitchen Table Santa Fe and the SVEDC Mixing Bowl in New Mexico.</w:t>
      </w:r>
    </w:p>
    <w:p>
      <w:pPr>
        <w:pBdr>
          <w:left w:val="thick" w:color="1B4332" w:sz="24" w:space="8"/>
        </w:pBdr>
        <w:shd w:fill="F0F7F3" w:val="clear"/>
        <w:spacing w:before="60" w:after="60"/>
      </w:pPr>
      <w:r>
        <w:rPr>
          <w:b/>
          <w:sz w:val="20"/>
          <w:szCs w:val="20"/>
          <w:color w:val="1B4332"/>
        </w:rPr>
        <w:t xml:space="preserve">NM Precedent Note: </w:t>
      </w:r>
      <w:r>
        <w:rPr>
          <w:sz w:val="20"/>
          <w:szCs w:val="20"/>
        </w:rPr>
        <w:t xml:space="preserve">New Mexico already supports multiple shared commercial kitchens that provide structured on-ramps for food entrepreneurs. In Albuquerque’s South Valley, the SVEDC Mixing Bowl offers a nonprofit kitchen incubator model. In Santa Fe, The Kitchen Table Santa Fe (opened May 2023) operates under exactly this membership framework — and launched with 15 businesses pre-signed, now serving 34 members. These precedents validate both the demand for and the regulatory feasibility of shared commercial kitchen infrastructure in New Mexico. The Hub adapts and extends these proven elements to southern New Mexico, combining a full food hall, shared commissary kitchen, and structured incubation pathway under the same rigorous compliance framework.</w:t>
      </w:r>
    </w:p>
    <w:p>
      <w:pPr>
        <w:pStyle w:val="Heading1"/>
        <w:pBdr>
          <w:bottom w:val="single" w:color="2563A8" w:sz="6" w:space="8"/>
        </w:pBdr>
        <w:spacing w:before="480" w:after="140"/>
      </w:pPr>
      <w:r>
        <w:rPr>
          <w:rFonts w:ascii="Arial" w:cs="Arial" w:eastAsia="Arial" w:hAnsi="Arial"/>
          <w:b/>
          <w:bCs/>
          <w:color w:val="1B3A5C"/>
          <w:sz w:val="36"/>
          <w:szCs w:val="36"/>
        </w:rPr>
        <w:t xml:space="preserve">7. Financial Snapshot</w:t>
      </w:r>
    </w:p>
    <w:p>
      <w:pPr>
        <w:spacing w:before="60" w:after="80"/>
      </w:pPr>
      <w:r>
        <w:rPr>
          <w:rFonts w:ascii="Arial" w:cs="Arial" w:eastAsia="Arial" w:hAnsi="Arial"/>
          <w:color w:val="1A1A1A"/>
          <w:sz w:val="22"/>
          <w:szCs w:val="22"/>
        </w:rPr>
        <w:t xml:space="preserve">Financial targets are intentionally conservative and built around everyday Las Cruces price points rather than big-city assumptions. The model treats Year 1 as a ramp-up year with realistic occupancy expectations and a gradual build in bar and event revenue as the programming calendar matures.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Conservative Design Principle</w:t>
            </w:r>
          </w:p>
          <w:p>
            <w:pPr>
              <w:spacing w:before="40"/>
            </w:pPr>
            <w:r>
              <w:rPr>
                <w:rFonts w:ascii="Arial" w:cs="Arial" w:eastAsia="Arial" w:hAnsi="Arial"/>
                <w:color w:val="1A1A1A"/>
                <w:sz w:val="21"/>
                <w:szCs w:val="21"/>
              </w:rPr>
              <w:t xml:space="preserve">The model does not assume tourist pricing or best-case traffic. Vendor license fees and percentage rent provide the steady revenue base. Cider bar and events contribute meaningfully but not dominantly in Year 1. The objective is a resilient, diversified base that reaches breakeven without depending on optimistic scenarios -- leaving upside if demand is stronger than projected.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7.1 Revenue Model -- Year 1 Conservative vs. Growth</w:t>
      </w:r>
    </w:p>
    <w:p>
      <w:pPr>
        <w:pBdr>
          <w:top w:val="single" w:color="8B1A1A" w:sz="6" w:space="4"/>
          <w:left w:val="thick" w:color="8B1A1A" w:sz="24" w:space="8"/>
        </w:pBdr>
        <w:shd w:fill="FBF0EE" w:val="clear"/>
        <w:spacing w:before="100" w:after="40"/>
      </w:pPr>
      <w:r>
        <w:rPr>
          <w:b/>
          <w:sz w:val="21"/>
          <w:szCs w:val="21"/>
          <w:color w:val="8B1A1A"/>
        </w:rPr>
        <w:t xml:space="preserve">FINANCIAL MODEL DISCLOSURE — Two Parallel Views (Read Before This Section)</w:t>
      </w:r>
    </w:p>
    <w:p>
      <w:pPr>
        <w:pBdr>
          <w:left w:val="thick" w:color="8B1A1A" w:sz="24" w:space="8"/>
        </w:pBdr>
        <w:shd w:fill="FBF0EE" w:val="clear"/>
        <w:spacing w:before="40" w:after="40"/>
      </w:pPr>
      <w:r>
        <w:rPr>
          <w:b/>
          <w:sz w:val="21"/>
          <w:szCs w:val="21"/>
        </w:rPr>
        <w:t xml:space="preserve">VIEW 1 — STABILIZED RUN-RATE (this section): </w:t>
      </w:r>
      <w:r>
        <w:rPr>
          <w:sz w:val="21"/>
          <w:szCs w:val="21"/>
        </w:rPr>
        <w:t xml:space="preserve">Section 7 shows the Hub at full vendor occupancy and mature operations (Year 2+ steady state). Revenue: $1,005,000. EBITDA: $114,000 (11%). Used for long-run investor return modeling and grant narrative positioning.</w:t>
      </w:r>
    </w:p>
    <w:p>
      <w:pPr>
        <w:pBdr>
          <w:left w:val="thick" w:color="8B1A1A" w:sz="24" w:space="8"/>
        </w:pBdr>
        <w:shd w:fill="FBF0EE" w:val="clear"/>
        <w:spacing w:before="40" w:after="40"/>
      </w:pPr>
      <w:r>
        <w:rPr>
          <w:b/>
          <w:sz w:val="21"/>
          <w:szCs w:val="21"/>
        </w:rPr>
        <w:t xml:space="preserve">VIEW 2 — GAAP RAMP YEAR (Appendix F.2 — PRIMARY FOR SBA AND GRANT USE): </w:t>
      </w:r>
      <w:r>
        <w:rPr>
          <w:sz w:val="21"/>
          <w:szCs w:val="21"/>
        </w:rPr>
        <w:t xml:space="preserve">Appendix F.2 reflects actual Year 1 operating reality during vendor onboarding ramp. Year 1 Revenue: $757,000. Year 1 EBITDA: ($287,400) loss. Year 2 EBITDA: $55,000. Year 3 EBITDA: $317,000. Cumulative 3-year GAAP net loss: ($344,100). The Year 1 loss is funded by the $272,000 working capital reserve. SBA underwriters, grant reviewers, and accredited investors must be directed to Appendix F.2 as the governing financial model. Appendix F.2 income statement and F.3 cash flow arithmetic are independently verified.</w:t>
      </w:r>
    </w:p>
    <w:p>
      <w:pPr>
        <w:pBdr>
          <w:left w:val="thick" w:color="8B1A1A" w:sz="24" w:space="8"/>
          <w:bottom w:val="single" w:color="8B1A1A" w:sz="6" w:space="4"/>
        </w:pBdr>
        <w:shd w:fill="FBF0EE" w:val="clear"/>
        <w:spacing w:before="40" w:after="80"/>
      </w:pPr>
      <w:r>
        <w:rPr>
          <w:i/>
          <w:sz w:val="20"/>
          <w:szCs w:val="20"/>
          <w:color w:val="666666"/>
        </w:rPr>
        <w:t xml:space="preserve">Note: Appendix F.4 balance sheet reconciliation is in progress with CPA engagement. A reconciled balance sheet will be provided before SBA pre-qualification meeting. Appendix F.6 DSCR analysis and F.7 stress scenarios are discussed in Section 13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Stream</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Conservative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Growth</w:t>
            </w:r>
          </w:p>
        </w:tc>
        <w:tc>
          <w:tcPr>
            <w:tcW w:type="dxa" w:w="2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Stall Rent (7-8 stalls)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$235,200-$307,200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$268,800-$345,600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$2,800-$3,200/month x 7-8 stalls x 12 months; staggered renewals protect continuity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Stall Sales % (6%)</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$75,000-$100,000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$90,000-$120,000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 of $1.25M-$1.67M aggregate permanent vendor sales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Stall Rent (2-3 stalls)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$48,000-$90,000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$54,000-$90,000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$2,000-$2,500/month x 2-3 stalls; staggered start dates per Smallman Galley lesson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Stall Sales % (8%)</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$18,000-$30,000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$22,000-$36,000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 of $225K-$375K incubator aggregate vendor sales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 Rent + Sales %</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$36,000-$48,000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$42,000-$54,000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bays x $1,500-$2,000/month + 8% commissions on delivery sales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 Cider Club</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$157,000-$223,000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$200,000-$278,000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program per Section 5; Cider Club provides predictable recurring baseline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Commissary Kitchen Rentals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$35,000-$50,000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$45,000-$65,000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$25-$35/hour; monthly memberships; food truck operators; caterers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Programming</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$35,000-$65,000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$50,000-$85,000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Cultural festivals; night markets; cider pairing dinners; ticketed events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 and Ancillary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$25,000-$45,000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$35,000-$60,000</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Sponsored promotions; merchandise; gift cards</w:t>
            </w:r>
          </w:p>
        </w:tc>
      </w:tr>
      <w:tr>
        <w:tc>
          <w:tcPr>
            <w:tcW w:type="dxa" w:w="2040"/>
          </w:tcPr>
          <w:p>
            <w:pPr>
              <w:spacing w:before="80" w:after="80"/>
            </w:pPr>
            <w:r>
              <w:rPr>
                <w:sz w:val="20"/>
                <w:szCs w:val="20"/>
              </w:rPr>
              <w:t>Gift Shop and Retail Merchandising</w:t>
            </w:r>
          </w:p>
        </w:tc>
        <w:tc>
          <w:tcPr>
            <w:tcW w:type="dxa" w:w="1920"/>
          </w:tcPr>
          <w:p>
            <w:pPr>
              <w:spacing w:before="80" w:after="80"/>
            </w:pPr>
            <w:r>
              <w:rPr>
                <w:sz w:val="20"/>
                <w:szCs w:val="20"/>
              </w:rPr>
              <w:t>$18,000–$35,000</w:t>
            </w:r>
          </w:p>
        </w:tc>
        <w:tc>
          <w:tcPr>
            <w:tcW w:type="dxa" w:w="1920"/>
          </w:tcPr>
          <w:p>
            <w:pPr>
              <w:spacing w:before="80" w:after="80"/>
            </w:pPr>
            <w:r>
              <w:rPr>
                <w:sz w:val="20"/>
                <w:szCs w:val="20"/>
              </w:rPr>
              <w:t>$30,000–$55,000</w:t>
            </w:r>
          </w:p>
        </w:tc>
        <w:tc>
          <w:tcPr>
            <w:tcW w:type="dxa" w:w="4480"/>
          </w:tcPr>
          <w:p>
            <w:pPr>
              <w:spacing w:before="80" w:after="80"/>
            </w:pPr>
            <w:r>
              <w:rPr>
                <w:sz w:val="20"/>
                <w:szCs w:val="20"/>
              </w:rPr>
              <w:t>Vendor-branded kits; NM pantry goods; alumni vendor products; branded sauces and merchandise. 50–65% gross margins. Positioned at main exit for impulse capture. See Section 5.5.</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REVENUE</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~$1,300,000+</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70% occupancy ramp; Growth: 90%+ by Year 2</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7.2 Three-Year Financial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500"/>
        <w:gridCol w:w="1500"/>
        <w:gridCol w:w="3060"/>
      </w:tblGrid>
      <w:tr>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EBITDA</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Margin</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Drivers</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Occupancy ramp 50% to 85%+; Cider Club launch; brand awareness building; all stalls operational by Month 9</w:t>
            </w:r>
          </w:p>
        </w:tc>
      </w:tr>
      <w:tr>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2</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$1,430,000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$384,000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Full-year 85%+ occupancy; scale economies; Cider Club 100+ members; first vendor graduations; mature event calendar</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$570,000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 occupancy; mature cider programming; permanent stall promotions from incubator; expanded regional event calendar</w:t>
            </w:r>
          </w:p>
        </w:tc>
      </w:tr>
    </w:tbl>
    <w:p>
      <w:pPr>
        <w:spacing w:before="80" w:after="80"/>
      </w:pPr>
      <w:r>
        <w:t xml:space="preserve"/>
      </w:r>
    </w:p>
    <w:p>
      <w:pPr>
        <w:spacing w:before="60" w:after="80"/>
      </w:pPr>
      <w:r>
        <w:rPr>
          <w:rFonts w:ascii="Arial" w:cs="Arial" w:eastAsia="Arial" w:hAnsi="Arial"/>
          <w:b/>
          <w:bCs/>
          <w:color w:val="1A1A1A"/>
          <w:sz w:val="22"/>
          <w:szCs w:val="22"/>
        </w:rPr>
        <w:t xml:space="preserve">3-Year Cumulative Revenue: $4.1M  |  3-Year Cumulative Profit: $1.1M+  |  Breakeven: Month 18-20  |  Investor ROI: 17–20% IRR (illustrative; $100K invested, 5-year hold, base case; see Appendix F investor terms)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7.3 Year 1 Detailed Cost Structure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600"/>
        <w:gridCol w:w="39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Category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Amount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of Revenue</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CEO / Founder Salary</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Strategic direction; curation oversight; grant leadership; vendor relationship management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General Manager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daily operations authority; multi-unit management experience required; hired Month 3</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Operations Manager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Kitchen facility management; maintenance coordination; compliance oversight; vendor coordination</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Beverage Director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program curation; NM cidery supplier relationships; event programming; Cider Club management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FOH Supervisor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Front-of-house customer experience standards across all vendor stalls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Part-Time Staff (10 FTE equivalent)</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$18/hour average; 30 hrs/week; front-of-house and operations support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Mortgage / Debt Service (Property)</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$84,000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7(a) debt service: $850K at 9.5–9.625%, 10-year term = approximately $130K–$132K/yr P&amp;I (per Appendix F). Note: Section 7.3 $84K figure reflects a prior 6.5%/25-yr assumption; Appendix F.2 uses 9.625%/10-yr per current SBA 7(a) market rates. Use Appendix F.2 figure for underwriting. Owner-operator model builds equity and qualifies for MRA property tax deferral.</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Insurance + Business Taxes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Liability, property, umbrella, business taxes; vendor insurance verification program</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$36,400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Part-time specialist + paid campaigns + content production + AI scheduling tools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Utilities -- Full Facility (Gross)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14.9%</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facility: electricity (El Paso Electric ~$0.13/kWh + demand charges), natural gas, water/sewer (LCU tiered rates), solid waste. $72,000 recovered via vendor shared services fees; net hub cost $78,000 for dining area and shared spaces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Admin and Professional Services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Accounting, legal, grant compliance consulting</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Software and POS Systems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Multi-vendor POS; inventory management; HR and payroll software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Bar COGS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$39,600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Approximately 22% of cider bar revenue at conservative projections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Miscellaneous and Repairs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Building maintenance; equipment contingency; operating surprises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OPERATING COSTS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~$891,000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89%</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Leaves $114,000 EBITDA at $1,005,000 revenue -- 11% Year 1 margin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7.4 Stress Test -- Downside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EBITDA</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Assessment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 Case (70% occupancy ramp)</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financial model; conservative and achievable</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Stress Test (60% occupancy, slower ramp)</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$860,000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$32,000</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Still EBITDA-positive; tight but viable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Occupancy Upside (90%+ by Month 8)</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$1,300,000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$320,000</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Growth scenario; achievable if Sawmill Market-level demand materializes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Break-Even Point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Approximately Month 18-20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Confirmed across all realistic occupancy scenarios</w:t>
            </w:r>
          </w:p>
        </w:tc>
      </w:tr>
    </w:tbl>
    <w:p>
      <w:r>
        <w:br w:type="page"/>
      </w:r>
    </w:p>
    <w:p>
      <w:pPr>
        <w:pStyle w:val="Heading2"/>
      </w:pPr>
      <w:r>
        <w:t>7.0 Capital Reality and Risk-Adjusted Financial Framing</w:t>
      </w:r>
    </w:p>
    <w:p>
      <w:r>
        <w:t>The financial model assumes founder cash contribution is $0. The project is therefore evaluated as a capital-seeking launch that must secure grants, investor equity, sponsor-backed buildout support, lender financing, vendor deposits, pre-sales, or a phased launch before committing to full indoor buildout.</w:t>
      </w:r>
    </w:p>
    <w:p>
      <w:r>
        <w:t>Year 1 ramp-year losses are acknowledged rather than hidden. Mitigation comes from working capital reserves, phased launch flexibility, proof events, vendor deposits, Cider Club and event pre-sales, sponsorship packages, grant stacking, and delaying full fixed-cost exposure until funding milestones are met.</w:t>
      </w:r>
    </w:p>
    <w:p>
      <w:pPr>
        <w:pStyle w:val="Heading2"/>
      </w:pPr>
      <w:r>
        <w:t>7.0A Public Outcomes Scorecard</w:t>
      </w:r>
    </w:p>
    <w:p>
      <w:r>
        <w:t>The Hub's public-benefit case should be measured with the same discipline as its financial model. The following scorecard converts the community mission into funder-ready targets.</w:t>
      </w:r>
    </w:p>
    <w:tbl>
      <w:tblPr>
        <w:tblW w:type="auto" w:w="0"/>
        <w:tblLook w:firstColumn="1" w:firstRow="1" w:lastColumn="0" w:lastRow="0" w:noHBand="0" w:noVBand="1" w:val="04A0"/>
      </w:tblPr>
      <w:tblGrid>
        <w:gridCol w:w="4680"/>
        <w:gridCol w:w="4680"/>
      </w:tblGrid>
      <w:tr>
        <w:tc>
          <w:tcPr>
            <w:tcW w:type="dxa" w:w="4680"/>
          </w:tcPr>
          <w:p>
            <w:r>
              <w:rPr>
                <w:b/>
              </w:rPr>
              <w:t>Outcome</w:t>
            </w:r>
          </w:p>
        </w:tc>
        <w:tc>
          <w:tcPr>
            <w:tcW w:type="dxa" w:w="4680"/>
          </w:tcPr>
          <w:p>
            <w:r>
              <w:rPr>
                <w:b/>
              </w:rPr>
              <w:t>Target / Measurement</w:t>
            </w:r>
          </w:p>
        </w:tc>
      </w:tr>
      <w:tr>
        <w:tc>
          <w:tcPr>
            <w:tcW w:type="dxa" w:w="4680"/>
          </w:tcPr>
          <w:p>
            <w:r>
              <w:t>Jobs created</w:t>
            </w:r>
          </w:p>
        </w:tc>
        <w:tc>
          <w:tcPr>
            <w:tcW w:type="dxa" w:w="4680"/>
          </w:tcPr>
          <w:p>
            <w:r>
              <w:t>50-70 total direct, vendor-employed, and indirect jobs at stabilization</w:t>
            </w:r>
          </w:p>
        </w:tc>
      </w:tr>
      <w:tr>
        <w:tc>
          <w:tcPr>
            <w:tcW w:type="dxa" w:w="4680"/>
          </w:tcPr>
          <w:p>
            <w:r>
              <w:t>Apprenticeships</w:t>
            </w:r>
          </w:p>
        </w:tc>
        <w:tc>
          <w:tcPr>
            <w:tcW w:type="dxa" w:w="4680"/>
          </w:tcPr>
          <w:p>
            <w:r>
              <w:t>10-15 paid apprenticeships per year through NMSU, DACC, or workforce partners</w:t>
            </w:r>
          </w:p>
        </w:tc>
      </w:tr>
      <w:tr>
        <w:tc>
          <w:tcPr>
            <w:tcW w:type="dxa" w:w="4680"/>
          </w:tcPr>
          <w:p>
            <w:r>
              <w:t>Inclusive vendor access</w:t>
            </w:r>
          </w:p>
        </w:tc>
        <w:tc>
          <w:tcPr>
            <w:tcW w:type="dxa" w:w="4680"/>
          </w:tcPr>
          <w:p>
            <w:r>
              <w:t>70% of priority stalls reserved for first-time, minority, veteran, or immigrant entrepreneurs</w:t>
            </w:r>
          </w:p>
        </w:tc>
      </w:tr>
      <w:tr>
        <w:tc>
          <w:tcPr>
            <w:tcW w:type="dxa" w:w="4680"/>
          </w:tcPr>
          <w:p>
            <w:r>
              <w:t>Business graduations</w:t>
            </w:r>
          </w:p>
        </w:tc>
        <w:tc>
          <w:tcPr>
            <w:tcW w:type="dxa" w:w="4680"/>
          </w:tcPr>
          <w:p>
            <w:r>
              <w:t>2-4 incubator businesses prepared for permanent stalls, independent locations, or retail product expansion by Year 3</w:t>
            </w:r>
          </w:p>
        </w:tc>
      </w:tr>
      <w:tr>
        <w:tc>
          <w:tcPr>
            <w:tcW w:type="dxa" w:w="4680"/>
          </w:tcPr>
          <w:p>
            <w:r>
              <w:t>Local sourcing</w:t>
            </w:r>
          </w:p>
        </w:tc>
        <w:tc>
          <w:tcPr>
            <w:tcW w:type="dxa" w:w="4680"/>
          </w:tcPr>
          <w:p>
            <w:r>
              <w:t>20% local sourcing target where feasible, prioritizing New Mexico growers, chile producers, cideries, meat producers, bakers, and packaged-food makers</w:t>
            </w:r>
          </w:p>
        </w:tc>
      </w:tr>
      <w:tr>
        <w:tc>
          <w:tcPr>
            <w:tcW w:type="dxa" w:w="4680"/>
          </w:tcPr>
          <w:p>
            <w:r>
              <w:t>Community programming</w:t>
            </w:r>
          </w:p>
        </w:tc>
        <w:tc>
          <w:tcPr>
            <w:tcW w:type="dxa" w:w="4680"/>
          </w:tcPr>
          <w:p>
            <w:r>
              <w:t>Weekly rituals, monthly cultural events, quarterly night markets, and annual Taste of Southern New Mexico festival</w:t>
            </w:r>
          </w:p>
        </w:tc>
      </w:tr>
    </w:tbl>
    <w:p/>
    <w:tbl>
      <w:tblPr>
        <w:tblW w:type="auto" w:w="0"/>
        <w:tblLook w:firstColumn="1" w:firstRow="1" w:lastColumn="0" w:lastRow="0" w:noHBand="0" w:noVBand="1" w:val="04A0"/>
      </w:tblPr>
      <w:tblGrid>
        <w:gridCol w:w="4680"/>
        <w:gridCol w:w="4680"/>
      </w:tblGrid>
      <w:tr>
        <w:tc>
          <w:tcPr>
            <w:tcW w:type="dxa" w:w="4680"/>
          </w:tcPr>
          <w:p>
            <w:r>
              <w:rPr>
                <w:b/>
              </w:rPr>
              <w:t>Outcome</w:t>
            </w:r>
          </w:p>
        </w:tc>
        <w:tc>
          <w:tcPr>
            <w:tcW w:type="dxa" w:w="4680"/>
          </w:tcPr>
          <w:p>
            <w:r>
              <w:rPr>
                <w:b/>
              </w:rPr>
              <w:t>Target Metric</w:t>
            </w:r>
          </w:p>
        </w:tc>
      </w:tr>
      <w:tr>
        <w:tc>
          <w:tcPr>
            <w:tcW w:type="dxa" w:w="4680"/>
          </w:tcPr>
          <w:p>
            <w:r>
              <w:t>Jobs created</w:t>
            </w:r>
          </w:p>
        </w:tc>
        <w:tc>
          <w:tcPr>
            <w:tcW w:type="dxa" w:w="4680"/>
          </w:tcPr>
          <w:p>
            <w:r>
              <w:t>50-70 total direct, vendor, and indirect jobs at stabilization</w:t>
            </w:r>
          </w:p>
        </w:tc>
      </w:tr>
      <w:tr>
        <w:tc>
          <w:tcPr>
            <w:tcW w:type="dxa" w:w="4680"/>
          </w:tcPr>
          <w:p>
            <w:r>
              <w:t>Direct Hub employment</w:t>
            </w:r>
          </w:p>
        </w:tc>
        <w:tc>
          <w:tcPr>
            <w:tcW w:type="dxa" w:w="4680"/>
          </w:tcPr>
          <w:p>
            <w:r>
              <w:t>Approximately 16 Hub FTE across management, cider bar, floor, commissary, marketing, and operations</w:t>
            </w:r>
          </w:p>
        </w:tc>
      </w:tr>
      <w:tr>
        <w:tc>
          <w:tcPr>
            <w:tcW w:type="dxa" w:w="4680"/>
          </w:tcPr>
          <w:p>
            <w:r>
              <w:t>Inclusive entrepreneurship</w:t>
            </w:r>
          </w:p>
        </w:tc>
        <w:tc>
          <w:tcPr>
            <w:tcW w:type="dxa" w:w="4680"/>
          </w:tcPr>
          <w:p>
            <w:r>
              <w:t>70% of vendor stalls reserved for first-time, minority, veteran, or immigrant entrepreneurs</w:t>
            </w:r>
          </w:p>
        </w:tc>
      </w:tr>
      <w:tr>
        <w:tc>
          <w:tcPr>
            <w:tcW w:type="dxa" w:w="4680"/>
          </w:tcPr>
          <w:p>
            <w:r>
              <w:t>Apprentices trained</w:t>
            </w:r>
          </w:p>
        </w:tc>
        <w:tc>
          <w:tcPr>
            <w:tcW w:type="dxa" w:w="4680"/>
          </w:tcPr>
          <w:p>
            <w:r>
              <w:t>10-15 paid apprenticeships per year through workforce partners</w:t>
            </w:r>
          </w:p>
        </w:tc>
      </w:tr>
      <w:tr>
        <w:tc>
          <w:tcPr>
            <w:tcW w:type="dxa" w:w="4680"/>
          </w:tcPr>
          <w:p>
            <w:r>
              <w:t>Businesses supported</w:t>
            </w:r>
          </w:p>
        </w:tc>
        <w:tc>
          <w:tcPr>
            <w:tcW w:type="dxa" w:w="4680"/>
          </w:tcPr>
          <w:p>
            <w:r>
              <w:t>12+ vendor businesses launched or supported in the first full operating cycle</w:t>
            </w:r>
          </w:p>
        </w:tc>
      </w:tr>
      <w:tr>
        <w:tc>
          <w:tcPr>
            <w:tcW w:type="dxa" w:w="4680"/>
          </w:tcPr>
          <w:p>
            <w:r>
              <w:t>Business graduations</w:t>
            </w:r>
          </w:p>
        </w:tc>
        <w:tc>
          <w:tcPr>
            <w:tcW w:type="dxa" w:w="4680"/>
          </w:tcPr>
          <w:p>
            <w:r>
              <w:t>2-4 incubator concepts prepared for permanent stalls or independent locations by Year 3</w:t>
            </w:r>
          </w:p>
        </w:tc>
      </w:tr>
      <w:tr>
        <w:tc>
          <w:tcPr>
            <w:tcW w:type="dxa" w:w="4680"/>
          </w:tcPr>
          <w:p>
            <w:r>
              <w:t>Local purchasing</w:t>
            </w:r>
          </w:p>
        </w:tc>
        <w:tc>
          <w:tcPr>
            <w:tcW w:type="dxa" w:w="4680"/>
          </w:tcPr>
          <w:p>
            <w:r>
              <w:t>Minimum 20% local ingredient sourcing target for incubator vendors where feasible</w:t>
            </w:r>
          </w:p>
        </w:tc>
      </w:tr>
      <w:tr>
        <w:tc>
          <w:tcPr>
            <w:tcW w:type="dxa" w:w="4680"/>
          </w:tcPr>
          <w:p>
            <w:r>
              <w:t>Community programming</w:t>
            </w:r>
          </w:p>
        </w:tc>
        <w:tc>
          <w:tcPr>
            <w:tcW w:type="dxa" w:w="4680"/>
          </w:tcPr>
          <w:p>
            <w:r>
              <w:t>Weekly rituals, monthly cultural events, quarterly night markets, and one annual Taste of Southern New Mexico festival</w:t>
            </w:r>
          </w:p>
        </w:tc>
      </w:tr>
    </w:tbl>
    <w:p/>
    <w:p>
      <w:pPr>
        <w:pStyle w:val="Heading1"/>
        <w:pBdr>
          <w:bottom w:val="single" w:color="2563A8" w:sz="6" w:space="8"/>
        </w:pBdr>
        <w:spacing w:before="480" w:after="140"/>
      </w:pPr>
      <w:r>
        <w:rPr>
          <w:rFonts w:ascii="Arial" w:cs="Arial" w:eastAsia="Arial" w:hAnsi="Arial"/>
          <w:b/>
          <w:bCs/>
          <w:color w:val="1B3A5C"/>
          <w:sz w:val="36"/>
          <w:szCs w:val="36"/>
        </w:rPr>
        <w:t xml:space="preserve">8. Customer Segments and Marketing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2026 Consumer Research Context</w:t>
            </w:r>
          </w:p>
          <w:p>
            <w:pPr>
              <w:spacing w:before="40"/>
            </w:pPr>
            <w:r>
              <w:rPr>
                <w:rFonts w:ascii="Arial" w:cs="Arial" w:eastAsia="Arial" w:hAnsi="Arial"/>
                <w:color w:val="1A1A1A"/>
                <w:sz w:val="21"/>
                <w:szCs w:val="21"/>
              </w:rPr>
              <w:t xml:space="preserve">FLIP's 2026 Food and Beverage Industry Trends Report confirms: 63.7% of consumers still dine out at least once weekly despite financial pressure; 56.3% spend $15-$30 per meal; 81% of food entrepreneurs feel confident about 2026. The desire for value does not stop spending -- it redirects it toward trusted, curated, community-anchored experiences exactly like the Hub.</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8.1 Customer Segments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800"/>
        <w:gridCol w:w="1400"/>
        <w:gridCol w:w="2300"/>
        <w:gridCol w:w="1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Segment</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Traffic %</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Price Range</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Frequency</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Draw</w:t>
            </w:r>
          </w:p>
        </w:tc>
        <w:tc>
          <w:tcPr>
            <w:tcW w:type="dxa" w:w="1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Strategy</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Families and Workers</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40-45%</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$12-$16 entrees; $15-$20/visit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2-3x/week</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Convenience, variety, value; tired of the same Mexican, New Mexican, and fast food rotation every week; actively want more variety without a long drive</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Weekday lunch specials; family bundles; loyalty punch card; NM/Mexican anchor concepts as familiar entry point</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Young Professionals and NMSU</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20-25%</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$16-$22 entrees; $25-$30 with cider</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2-3x/week</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Craving global variety not available anywhere else in Las Cruces; cider bar as social hub; Instagram-worthy global, Mediterranean, and fusion dishes they have never seen locally</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social programming; evening events; vendor origin storytelling; student discount days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Visitors and Tourists</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15-20%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$18-$24 entrees; $30-$50/visit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1-2x/month</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Destination that offers something genuinely not available in their own cities -- the combination of NM craft cider, Hub Signature, Southern BBQ, and Mediterranean under one roof is unique within a 45-minute radius</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Visit Las Cruces partnership; monthly cultural festivals; cider destination positioning; quarterly night markets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Health-Conscious and Flexitarian</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10-15%</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$14-$18 entrees; $18-$24/visit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2x/week</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sourcing; plant-forward options; ingredient quality and transparency</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Mediterranean vendor anchor; 20-30% local sourcing highlight; farm storytelling; meet-the-producer events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8.2 Marketing Strategy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300"/>
        <w:gridCol w:w="3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Objectives</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Tactics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Pre-Launch Validation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1-3</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Validate variety-seeking demand; build anticipation among residents who have been driving to Albuquerque for diverse dining; recruit Cider Club founding members</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surveys at farmers markets and NMSU campus; social media sneak peeks; vendor announcement content; Cider Club pre-registration campaign; partnership announcements with DLCP and Visit Las Cruces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Launch Campaign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4-6</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50-60% occupancy; brand positioning as Las Las Cruces’ answer to menu fatigue -- diverse dining, finally here</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Grand opening event with city officials; introductory vendor promotions; bilingual English/Spanish PR campaign; influencer partnerships with local food bloggers; cross-promotion with downtown businesses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Steady-State Operations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7-12+</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 occupancy; habitual repeat visits; cultural event calendar established</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cultural food festivals; weekly programming rituals (trivia, Loteria, live music); Cider Club growth campaigns; loyalty program for frequent diners; regional tourism marketing through Visit Las Cruces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8.3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Channel</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 Segment</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Approach</w:t>
            </w:r>
          </w:p>
        </w:tc>
        <w:tc>
          <w:tcPr>
            <w:tcW w:type="dxa" w:w="1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Budget Allocation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Instagram and TikTok</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Young professionals; NMSU; regional visitors</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Visual food content; behind-the-scenes vendor stories; cider bar lifestyle content; event coverage; bilingual content streams</w:t>
            </w:r>
          </w:p>
        </w:tc>
        <w:tc>
          <w:tcPr>
            <w:tcW w:type="dxa" w:w="1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 of marketing budget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Facebook</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families; ages 35-65; community organizations</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promotion; family deal features; cultural festival coverage; community group partnerships</w:t>
            </w:r>
          </w:p>
        </w:tc>
        <w:tc>
          <w:tcPr>
            <w:tcW w:type="dxa" w:w="1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 of marketing budget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Email Newsletter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Club members; loyalty program members; event attendees</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programming calendar; vendor spotlight features; exclusive member offers; Cider Club content</w:t>
            </w:r>
          </w:p>
        </w:tc>
        <w:tc>
          <w:tcPr>
            <w:tcW w:type="dxa" w:w="1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 of marketing budget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Radio (Spanish and English)</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Traditional families; ages 35-65; Las Cruces metro</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announcements; cultural festival promotions; weekend programming calendar</w:t>
            </w:r>
          </w:p>
        </w:tc>
        <w:tc>
          <w:tcPr>
            <w:tcW w:type="dxa" w:w="1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of marketing budget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Google Business and Search Ads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visitors; culinary tourists; anyone searching Las Cruces dining</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search optimization; event listings; cider destination positioning; tourism-oriented keywords</w:t>
            </w:r>
          </w:p>
        </w:tc>
        <w:tc>
          <w:tcPr>
            <w:tcW w:type="dxa" w:w="1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marketing budget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 Las Cruces and Tourism Partners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visitors; El Paso day-trippers</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guide inclusion; hotel concierge recommendations; tourism event listings; regional PR coverage</w:t>
            </w:r>
          </w:p>
        </w:tc>
        <w:tc>
          <w:tcPr>
            <w:tcW w:type="dxa" w:w="1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of marketing budget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8.4 Key Marketing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KPI</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 Target</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Measurement Method</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Guest Count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2,500-3,500 unique visitors by Month 12</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Entry counter system; WiFi device tracking; POS transaction counts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Club Membership</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 members by end of Year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Subscription platform enrollment tracking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Google Rating Average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 across all vendor stalls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Weekly Google review monitoring; monthly report</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Social Media Following</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 combined followers by Month 6</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Platform analytics dashboards</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Repeat Customer Rate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35-45% 30-day return rate (vs. 25% industry average)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Loyalty program tracking; payment method matching</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Attendance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60-100 per event average by Month 8</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Registration counts; ticket sales; entry tracking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Out-of-County Visitors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15-25% of total customer base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surveys; zip code data collection at Cider Club signup</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9. Comparable Market Analysis</w:t>
      </w:r>
    </w:p>
    <w:p>
      <w:pPr>
        <w:spacing w:before="60" w:after="80"/>
      </w:pPr>
      <w:r>
        <w:rPr>
          <w:rFonts w:ascii="Arial" w:cs="Arial" w:eastAsia="Arial" w:hAnsi="Arial"/>
          <w:color w:val="1A1A1A"/>
          <w:sz w:val="22"/>
          <w:szCs w:val="22"/>
        </w:rPr>
        <w:t xml:space="preserve">The Las Cruces Culinary Innovation Hub's model has been validated against directly comparable food hall and incubator concepts at both the regional and national level. The following analysis incorporates research into Sawmill Market and Park Square Market (Albuquerque, NM), Smallman Galley (Pittsburgh, PA), One Eleven Food Hall (Chicago, IL), and Durham Food Hall (Durham, NC).</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9.1 Sawmill Market -- New Mexico's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Factor</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Sawmill Market (Albuquerque, NM)</w:t>
            </w:r>
          </w:p>
        </w:tc>
        <w:tc>
          <w:tcPr>
            <w:tcW w:type="dxa" w:w="36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Hub Application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Location</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Historic lumber warehouse near Old Town Albuquerque -- adaptive reuse in established neighborhood</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revitalization zone -- similar adaptive reuse opportunity qualifying for DLCP grants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Size</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35,000-40,000 sq ft</w:t>
            </w:r>
          </w:p>
        </w:tc>
        <w:tc>
          <w:tcPr>
            <w:tcW w:type="dxa" w:w="3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 sq ft -- deliberate smaller format matching Las Cruces market scale; lower fixed costs; higher curation control</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Count</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28-30 food and beverage concepts</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10-13 total -- curated selectivity over volume; every concept serves a strategic role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Curation Model</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NM culinary talent; mix of established operators and emerging concepts</w:t>
            </w:r>
          </w:p>
        </w:tc>
        <w:tc>
          <w:tcPr>
            <w:tcW w:type="dxa" w:w="3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local-first curation; adds structured incubator pipeline that Sawmill does not have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Beverage Differentiation</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bar including craft beer and cocktails; no dedicated cider focus</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Specialty craft cider destination -- fills completely open niche that Sawmill does not occupy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Expansion Signal</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Owner Jim Long opened Park Square Market (Albuquerque, June 2025) and is planning a Santa Fe food hall (2026)</w:t>
            </w:r>
          </w:p>
        </w:tc>
        <w:tc>
          <w:tcPr>
            <w:tcW w:type="dxa" w:w="3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food hall model is proven and actively scaling -- regional operator expansion validates the concept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Key Principle</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'People stay longer, come back more often, and spend more money in places that attract their affection' -- Jim Long, Heritage Cos. CITY ENDORSEMENT: Sawmill Market is cited by name as a positive development precedent in the City of Las Cruces East Lohman Development Plan (adopted September 2021). ADDITIONAL MRA BACKING: The W. Picacho and Motel MRA Plan (April 2026, Stantec Consulting) explicitly includes a 'food hall' as a community 'Big Idea' for the Tashiro Drive catalyst site -- Strategy 3.4 of the plan specifically recommends creating an 'eatertainment district' with food trucks and a commercial kitchen to serve small-scale food entrepreneurs in the MRA (adopted September 2021) -- meaning the city's own planning documents already validate this as the model for Las Cruces food-hall investment.</w:t>
            </w:r>
          </w:p>
        </w:tc>
        <w:tc>
          <w:tcPr>
            <w:tcW w:type="dxa" w:w="3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Atmosphere, programming, and community identity drive the Hub's design; the cider bar and event calendar are the affection-building engine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9.2 Park Square Market -- 2025 First-Year Lessons</w:t>
      </w:r>
    </w:p>
    <w:p>
      <w:pPr>
        <w:spacing w:before="60" w:after="80"/>
      </w:pPr>
      <w:r>
        <w:rPr>
          <w:rFonts w:ascii="Arial" w:cs="Arial" w:eastAsia="Arial" w:hAnsi="Arial"/>
          <w:color w:val="1A1A1A"/>
          <w:sz w:val="22"/>
          <w:szCs w:val="22"/>
        </w:rPr>
        <w:t xml:space="preserve">Park Square Market opened June 2025 in Albuquerque's Uptown district as Heritage Cos.'s second food hall. Key data points for the Las Cruces Hub:</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Achieved 100% occupancy at opening with 12 local, artisanal merchants -- confirming strong NM operator demand for curated food hall formats</w:t>
      </w:r>
    </w:p>
    <w:p>
      <w:pPr>
        <w:pStyle w:val="ListParagraph"/>
        <w:numPr>
          <w:ilvl w:val="0"/>
          <w:numId w:val="2"/>
        </w:numPr>
        <w:spacing w:before="40" w:after="40"/>
      </w:pPr>
      <w:r>
        <w:rPr>
          <w:rFonts w:ascii="Arial" w:cs="Arial" w:eastAsia="Arial" w:hAnsi="Arial"/>
          <w:color w:val="1A1A1A"/>
          <w:sz w:val="22"/>
          <w:szCs w:val="22"/>
        </w:rPr>
        <w:t xml:space="preserve">30-40% of merchants were first-time food hall operators (including Little Gems, a first-time tenant) -- directly validates the incubator market opportunity</w:t>
      </w:r>
    </w:p>
    <w:p>
      <w:pPr>
        <w:pStyle w:val="ListParagraph"/>
        <w:numPr>
          <w:ilvl w:val="0"/>
          <w:numId w:val="2"/>
        </w:numPr>
        <w:spacing w:before="40" w:after="40"/>
      </w:pPr>
      <w:r>
        <w:rPr>
          <w:rFonts w:ascii="Arial" w:cs="Arial" w:eastAsia="Arial" w:hAnsi="Arial"/>
          <w:color w:val="1A1A1A"/>
          <w:sz w:val="22"/>
          <w:szCs w:val="22"/>
        </w:rPr>
        <w:t xml:space="preserve">'Everyone has their own space and creates their own style' -- dedicated-space model was a deliberate design choice, not an afterthought</w:t>
      </w:r>
    </w:p>
    <w:p>
      <w:pPr>
        <w:pStyle w:val="ListParagraph"/>
        <w:numPr>
          <w:ilvl w:val="0"/>
          <w:numId w:val="2"/>
        </w:numPr>
        <w:spacing w:before="40" w:after="40"/>
      </w:pPr>
      <w:r>
        <w:rPr>
          <w:rFonts w:ascii="Arial" w:cs="Arial" w:eastAsia="Arial" w:hAnsi="Arial"/>
          <w:color w:val="1A1A1A"/>
          <w:sz w:val="22"/>
          <w:szCs w:val="22"/>
        </w:rPr>
        <w:t xml:space="preserve">Part of a $10M+ mixed-use redevelopment -- confirms food halls anchor broader real estate value creation; strengthens downtown revitalization grant positioning</w:t>
      </w:r>
    </w:p>
    <w:p>
      <w:pPr>
        <w:spacing w:before="80" w:after="80"/>
      </w:pPr>
      <w:r>
        <w:t xml:space="preserve"/>
      </w:r>
    </w:p>
    <w:p>
      <w:pPr>
        <w:pStyle w:val="Heading2"/>
        <w:spacing w:before="320" w:after="100"/>
      </w:pPr>
      <w:r>
        <w:rPr>
          <w:rFonts w:ascii="Arial" w:hAnsi="Arial"/>
          <w:b/>
          <w:color w:val="2563A8"/>
          <w:sz w:val="28"/>
          <w:szCs w:val="28"/>
        </w:rPr>
        <w:t>9.3 The Kitchen Table Santa Fe -- New Mexico In-State Commissary Precedent</w:t>
      </w:r>
    </w:p>
    <w:p>
      <w:pPr>
        <w:spacing w:before="60" w:after="80"/>
      </w:pPr>
      <w:r>
        <w:rPr>
          <w:rFonts w:ascii="Arial" w:hAnsi="Arial"/>
          <w:color w:val="1A1A1A"/>
          <w:sz w:val="22"/>
          <w:szCs w:val="22"/>
        </w:rPr>
        <w:t xml:space="preserve">The Kitchen Table Santa Fe (KTSF, 313 Camino Alire, Santa Fe, NM; thekitchentablesantafe.com) opened in May 2023 and is the closest in-state New Mexico comparable for the Hub's commissary kitchen component. Founded by chef and entrepreneur Andrea Abedi (Culinary Institute of America, Johnson and Wales, formerly Charlie Trotter's Chicago), KTSF is a fully equipped 24/7 commercial kitchen operating on a membership model. It opened with 15 pre-signed members and has grown to 34 active members within two years of opening. In 2023 it was named Business of the Year by the Santa Fe Chamber of Commerce, and in 2024 it received Edible Magazine's Local Hero Award for Innovation and Education -- New Mexico's food industry recognition for exactly the entrepreneurship infrastructure model the Hub is building.</w:t>
      </w:r>
    </w:p>
    <w:p>
      <w:pPr>
        <w:spacing w:before="120" w:after="60"/>
      </w:pPr>
      <w:r>
        <w:rPr>
          <w:rFonts w:ascii="Arial" w:hAnsi="Arial"/>
          <w:b/>
          <w:color w:val="14746F"/>
          <w:sz w:val="22"/>
          <w:szCs w:val="22"/>
        </w:rPr>
        <w:t xml:space="preserve">Key lessons and applications:</w:t>
      </w:r>
    </w:p>
    <w:tbl>
      <w:tblPr>
        <w:tblW w:type="dxa" w:w="9360"/>
        <w:tblBorders>
          <w:insideH w:val="single" w:color="B0C8E8" w:sz="1"/>
          <w:insideV w:val="single" w:color="B0C8E8" w:sz="1"/>
        </w:tblBorders>
      </w:tblPr>
      <w:tblGrid>
        <w:gridCol w:w="2000"/>
        <w:gridCol w:w="2880"/>
        <w:gridCol w:w="448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Factor</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Kitchen Table Santa Fe</w:t>
            </w:r>
          </w:p>
        </w:tc>
        <w:tc>
          <w:tcPr>
            <w:tcW w:type="dxa" w:w="4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Application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Location and market</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Santa Fe, NM (pop. ~84,000; college + tourism market)</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Las Cruces is 2.5x larger with NMSU campus, Fort Bliss, and military community -- commissary kitchen addressable market is demonstrably stronger</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Launch trajectory</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Opened May 2023 with 15 pre-signed members; grown to 34 active members</w:t>
            </w:r>
          </w:p>
        </w:tc>
        <w:tc>
          <w:tcPr>
            <w:tcW w:type="dxa" w:w="4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commissary targets 8-12 monthly members at $25-$35/hr; KTSF's ramp from 15 to 34 members in ~2 years validates this growth trajectory</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Scheduling software</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Uses The Food Corridor (thefoodcorridor.com) -- purpose-built for shared kitchen scheduling and billing</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 commissary kitchen should evaluate The Food Corridor for hourly booking and member billing; different use case from Tabski (vendor stalls). Contact KTSF for referral: (505) 226-1984</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Industry network</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Member of NICK (National Incubator and Commercial Kitchen) Network for peer learning</w:t>
            </w:r>
          </w:p>
        </w:tc>
        <w:tc>
          <w:tcPr>
            <w:tcW w:type="dxa" w:w="4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should join NICK Network in Phase 1 -- provides operational benchmarks, software guidance, regulatory resources, and national peer community of shared kitchen operators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Land use precedent</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Required City of Santa Fe land use code update for commissary kitchen in C-1 zone; City Council meetings and special use permit process (permit issued January 2021)</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Las Cruces may require similar permitting coordination; engage City Building and Land Use departments in Phase 1 to confirm commissary kitchen classification and any required special use permit or overlay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Community partnership</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Collaboration with Santa Fe Farmers Market Institute: freeze-drying surplus farm produce to reduce waste and support farmer year-round income</w:t>
            </w:r>
          </w:p>
        </w:tc>
        <w:tc>
          <w:tcPr>
            <w:tcW w:type="dxa" w:w="4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local sourcing commitment + commissary kitchen can extend to value-added agricultural processing partnerships -- a USDA LFPP grant-eligible activity that strengthens the local agriculture grant narrative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Recognition</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Business of the Year 2023 (Santa Fe Chamber of Commerce); Local Hero Award -- Innovator and Education (Edible Magazine 2024)</w:t>
            </w:r>
          </w:p>
        </w:tc>
        <w:tc>
          <w:tcPr>
            <w:tcW w:type="dxa" w:w="4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Establishes that NM food entrepreneurship infrastructure achieves top-tier civic recognition within 2 years of opening -- directly strengthens Hub grant narratives about community and economic impact</w:t>
            </w:r>
          </w:p>
        </w:tc>
      </w:tr>
    </w:tbl>
    <w:p>
      <w:pPr>
        <w:spacing w:before="100" w:after="40"/>
      </w:pPr>
      <w:r>
        <w:rPr>
          <w:rFonts w:ascii="Arial" w:hAnsi="Arial"/>
          <w:i/>
          <w:color w:val="555555"/>
          <w:sz w:val="20"/>
          <w:szCs w:val="20"/>
        </w:rPr>
        <w:t xml:space="preserve">Note: KTSF is a shared-time commissary kitchen, not a food hall with dedicated stalls. Additionally, the Farmington, NM Harvest Food Hub and Kitchen at San Juan College -- cited as a successful MRA case study in the Las Cruces El Paseo and S Solano MRA Plan (April 2026) -- provides a directly comparable NM precedent for the Hub's commissary kitchen component. That project was funded by NMSU's Local Food, Local Places grant, which covered operating costs for the first five years. The El Paseo MRA plan's explicit citation of this project as a model reinforces the Hub's case for USDA LFPP and NMSU partnership funding. The relevant benchmarks apply specifically to the Hub's commissary kitchen component ($25-$35/hour rentals; monthly members; value-added food processing). The Hub's dedicated vendor stall model -- which KTSF does not replicate -- remains differentiated.</w:t>
      </w:r>
    </w:p>
    <w:p>
      <w:pPr>
        <w:spacing w:before="40" w:after="80"/>
      </w:pPr>
      <w:r>
        <w:rPr>
          <w:rFonts w:ascii="Arial" w:hAnsi="Arial"/>
          <w:i/>
          <w:color w:val="555555"/>
          <w:sz w:val="20"/>
          <w:szCs w:val="20"/>
        </w:rPr>
        <w:t xml:space="preserve">Source: The Kitchen Table Santa Fe About Us page (thekitchentablesantafe.com/about-us); Santa Fe Chamber of Commerce Business of the Year 2023; Edible Magazine Local Hero Award 2024.</w:t>
      </w:r>
    </w:p>
    <w:p>
      <w:pPr>
        <w:pStyle w:val="Heading2"/>
        <w:spacing w:before="320" w:after="100"/>
      </w:pPr>
      <w:r>
        <w:rPr>
          <w:rFonts w:ascii="Arial" w:cs="Arial" w:eastAsia="Arial" w:hAnsi="Arial"/>
          <w:b/>
          <w:bCs/>
          <w:color w:val="2563A8"/>
          <w:sz w:val="28"/>
          <w:szCs w:val="28"/>
        </w:rPr>
        <w:t xml:space="preserve">9.4 National Incubator Food Hall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Food Hall</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Location</w:t>
            </w:r>
          </w:p>
        </w:tc>
        <w:tc>
          <w:tcPr>
            <w:tcW w:type="dxa" w:w="5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Lesson for Las Cruces Hub</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Smallman Galley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Pittsburgh, PA</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Most critical lesson: when all vendor licenses expire simultaneously, the entire cohort leaves at once. The Hub staggers all incubator license start dates 3-6 months apart. Combined with 7-8 permanent stalls on rolling 2+ year commitments, no simultaneous mass departure is possible.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One Eleven Food Hall</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Chicago, IL (Pullman South Side)</w:t>
            </w:r>
          </w:p>
        </w:tc>
        <w:tc>
          <w:tcPr>
            <w:tcW w:type="dxa" w:w="5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Deliberately low entry rents ($1,500/month) enable vendors to focus on building the business rather than just surviving rent. The Hub's $2,000/month graduated entry rate for qualifying first-time entrepreneurs directly reflects this model.</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Durham Food Hall</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Durham, NC</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Small-to-mid-size cities can successfully support premium food halls when the concept is anchored in strong local identity. Las Cruces's distinct New Mexican borderland culture provides an equivalent identity foundation.</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CommonWealth Kitchen</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Boston, MA</w:t>
            </w:r>
          </w:p>
        </w:tc>
        <w:tc>
          <w:tcPr>
            <w:tcW w:type="dxa" w:w="5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Collective purchasing significantly improves vendor profit margins and reduces operating risk. The Hub's planned bulk purchasing coordination for local NM produce, chile, and pecans reflects this best practice.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9.5 Industry Growth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Data Point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Relevance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 market grew 26% while traditional hospitality contracted</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LinkedIn / Simon Anderson, 2025</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halls are the most resilient segment of restaurant real estate -- investor confidence data point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 food halls in 2010 --&gt; 360 by 2023 --&gt; 700+ projected by 2027</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Meredith College / ScienceDirect, 2025</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sits in a completely untapped gap within an actively growing national category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halls function as 'true incubators for new businesses and catalysts for community revitalization'</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ScienceDirect research, 35 food hall operators studied, 2025</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Academic validation of the Hub's incubator framing for grant applications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 of food entrepreneurs felt confident about 2026 (up from 79% the prior year)</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FLIP 2026 Trends Report</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Strong vendor recruitment environment -- incubator pipeline candidates are actively seeking lower-risk launch pathways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56.3% of consumers spend $15-$30 per meal in 2026</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FLIP 2026 Consumer Research</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$15-$20 entree pricing is precisely calibrated to the national dining norm; not a price stretch for Las Cruces market</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10. Economic Impact and Grant Alignment</w:t>
      </w:r>
    </w:p>
    <w:p>
      <w:pPr>
        <w:spacing w:before="60" w:after="80"/>
      </w:pPr>
      <w:r>
        <w:rPr>
          <w:rFonts w:ascii="Arial" w:cs="Arial" w:eastAsia="Arial" w:hAnsi="Arial"/>
          <w:color w:val="1A1A1A"/>
          <w:sz w:val="22"/>
          <w:szCs w:val="22"/>
        </w:rPr>
        <w:t xml:space="preserve">The Hub simultaneously qualifies for six distinct economic development grant categories -- an unusually strong position that gives it a realistic path to $405,000-$595,000 in non-dilutive grant capital (including WIOA/EmployNM wage reimbursements) to support construction, equipment, and programming.</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10.1 Six Grant Categories -- Simultaneous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Grant Category</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Qualification Evidence</w:t>
            </w:r>
          </w:p>
        </w:tc>
        <w:tc>
          <w:tcPr>
            <w:tcW w:type="dxa" w:w="3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Grant Sources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 Business Incubator Infrastructure</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food entrepreneur startups Year 1; dedicated private kitchen stalls; structured mentorship; staggered graduation pipeline with measurable outcomes</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HFFF, SBA Community Advantage, DLCP Renovate Main Street matching grant (endorsed by Elevate Las Cruces and East Lohman Development Plan as TIDD-backed tool for catalytic downtown projects) -- all aligned with Elevate Las Cruces Entrepreneurship (3.37/4.0) and Economic Equity (3.47/4.0) adopted goals -- plus for a W. Picacho MRA site: EDA Public Works grants (up to $3M for business incubators in economically distressed areas; W. Picacho MRA unemployment rate 20.7%), Community Foundation of Southern NM Economic Development Retention &amp; Revitalization Grant (rolling, supports new business formation), and NM Destination Forward ($500K for tourism infrastructure; food trails and food-based facilities explicitly eligible)</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Development and Career Training</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NMSU and Dona Ana Community College formal partnership; 10-15 paid apprentices/year at $15-$18/hour; culinary, hospitality, and food entrepreneurship curricula; career ladder from dishwasher to owner-operator</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Dept. of Workforce Solutions, NM apprenticeship program funding, DACC community college partnership grants, WESST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Revitalization and Placemaking</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 sq ft commercial space activation in DLCP Main Street footprint; destination foot traffic benefiting adjacent businesses; TIDD alignment; qualifies for Renovate Main Street matching grant</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EPE Economic Development, DLCP TIDD infrastructure, City of Las Cruces Renovate Main Street matching grant, NM MainStreet program</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Destination Development</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Regional draw: 300,000–350,000 within 45 minutes; 2.5M annual out-of-market visitors; monthly cultural festivals; Las Cruces' only craft cider destination; formal Visit Las Cruces co-marketing partnership</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Tourism Department, Visit Las Cruces, Dona Ana County CVB, NM MainStreet tourism programs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Minority and First-Time Entrepreneur Support</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 of stalls reserved for first-time, minority, veteran, or immigrant entrepreneurs; graduated rent for qualifying operators; annual demographic tracking and reporting</w:t>
            </w:r>
          </w:p>
        </w:tc>
        <w:tc>
          <w:tcPr>
            <w:tcW w:type="dxa" w:w="3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Minority Business Development Center, Las Cruces Hispanic Chamber, Veterans Business Outreach Center, MVEDA, SBA Women-Owned Business programs</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Market Expansion</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20-30% local sourcing commitment across all vendors; $200,000-$300,000 annual NM agriculture purchases; 15-25 regional farms and producers supported; NM cidery supply chain development</w:t>
            </w:r>
          </w:p>
        </w:tc>
        <w:tc>
          <w:tcPr>
            <w:tcW w:type="dxa" w:w="3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USDA Rural Development (RBDG, LFPP), NM Dept. of Agriculture, Food Systems development grants, NM Farm and Ranch Heritage programs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10.2 City and Regional Support Programs -- Active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Program</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Provides</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Required Action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Partnership (DLCP)</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Main Street America Accredited organization; Renovate Main Street building improvement matching grant; TIDD infrastructure funding; event co-promotion; business development support</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DLCP (downtownlascruces.org) in Month 1; schedule meeting with Executive Director; begin Renovate Main Street grant inquiry</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MVEDA (Mesilla Valley Economic Development Alliance)</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EPE New Mexico Economic Development Fund access (confirmed $100,000 grant precedent to Las Cruces businesses); regional economic development support</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Contact MVEDA (mveda.com) in Month 1; position Hub as regional economic anchor in EPE grant application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Greater Las Cruces Chamber of Commerce</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 Business Council networking; Skill-Ready Dona Ana workforce training program; co-marketing with member businesses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Join Chamber in Month 1; present Hub concept at Small Business Council for community validation and vendor recruitment support</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 Las Cruces</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co-marketing; visitor guide inclusion; hotel concierge referrals; food tourism positioning; regional press introductions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Submit formal co-marketing proposal in Phase 1; position cider bar as 'Las Cruces Premier Craft Cider Destination'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Arrowhead Center</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Small business development; student entrepreneurship; research partnerships; SBDC counseling access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partnership discussion for workforce training curricula co-design and student vendor pipeline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SVEDC (South Valley Economic Development Center, Albuquerque)</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NM’s longest-running food business incubator (est. 2005); Semilla and Mariposa programs serve up to 45 food businesses at a time; Albuquerque-based but serves southern NM entrepreneurs; explicitly does NOT incubate full-service restaurant concepts (NAICS 722511–722514) — the Hub fills exactly that gap</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SVEDC in Phase 1 to establish a formal referral pipeline; Mariposa graduates with Las Cruces roots who want to open a food stall are ideal incubator candidates; SVEDC can pre-screen culinary credibility before Hub admission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10.3 Projected Economic Development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 Category</w:t>
            </w:r>
          </w:p>
        </w:tc>
        <w:tc>
          <w:tcPr>
            <w:tcW w:type="dxa" w:w="28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 Target</w:t>
            </w:r>
          </w:p>
        </w:tc>
        <w:tc>
          <w:tcPr>
            <w:tcW w:type="dxa" w:w="32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5-Year Projection</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Direct Jobs Created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~34–48 total direct (16 Hub FTE + ~18–32 vendor, incubator, and ghost kitchen staff)</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 as alumni open independent restaurants (incubator pipeline graduates)</w:t>
            </w:r>
          </w:p>
        </w:tc>
      </w:tr>
      <w:tr>
        <w:tc>
          <w:tcPr>
            <w:tcW w:type="dxa" w:w="2800"/>
          </w:tcPr>
          <w:p>
            <w:pPr>
              <w:spacing w:before="60" w:after="60"/>
            </w:pPr>
            <w:r>
              <w:rPr>
                <w:b/>
                <w:sz w:val="20"/>
                <w:szCs w:val="20"/>
              </w:rPr>
              <w:t>Tourism Visitor Economy (Sourced)</w:t>
            </w:r>
          </w:p>
        </w:tc>
        <w:tc>
          <w:tcPr>
            <w:tcW w:type="dxa" w:w="6560"/>
          </w:tcPr>
          <w:p>
            <w:pPr>
              <w:spacing w:before="60" w:after="60"/>
            </w:pPr>
            <w:r>
              <w:rPr>
                <w:sz w:val="20"/>
                <w:szCs w:val="20"/>
              </w:rPr>
              <w:t>Las Cruces attracts 2.5M out-of-market visitors annually (Placer, 2025). Full-service restaurant gross receipts (NAICS 722511): $178.7M in 2025, $171.8M in 2024, $190.4M in 2023 (NMTR RP-80). At $68.32 per visitor+resident spend, each percentage point of visitor dining captured by the Hub represents approximately $1.78M in total market gross receipts. Top visitor origin counties — El Paso TX, Maricopa AZ, Bernalillo NM — confirm the I-10/I-25 corridor drive market aligns with the Hub’s destination dining positioning. The adjacent OMDPNM generated $35.0M in total economic impact in 2022 (BBC/IMPLAN), including $6.2M in restaurant spending by non-local visitors, with visitation holding at 613,645 in FY2024 (BLM). Of non-local monument visitors, 73% cited OMDPNM as their primary reason for visiting the Las Cruces area.</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Indirect Jobs Created</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17–24 (1.5x BLS regional food service multiplier)</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35–50 (grows with vendor employment base)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Entrepreneur Startups Launched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(7-8 permanent + 2-3 incubator + 2 ghost kitchens)</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 including all cohort graduates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Independent Restaurants Graduated</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0-2 in Year 1</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 over 5 years from incubator pipeline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Paid Apprenticeships Created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10-15 annually at $15-$18/hour</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50-75 total over 5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Minority / First-Time Entrepreneur Stalls</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 of all vendor stalls (maintained as core commitment)</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Maintained permanently -- tracked and reported annually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Agriculture Purchases</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$200,000-$300,000 per year</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$1M-$1.5M cumulative over 5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Farms and Producers Supported</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15-25 regional farms, chile producers, NM cideries</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30-50 over 5 years</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Events Hosted</w:t>
            </w:r>
          </w:p>
        </w:tc>
        <w:tc>
          <w:tcPr>
            <w:tcW w:type="dxa" w:w="28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annually (monthly festivals + quarterly night markets)</w:t>
            </w:r>
          </w:p>
        </w:tc>
        <w:tc>
          <w:tcPr>
            <w:tcW w:type="dxa" w:w="32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 over 5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Out-of-County Visitor Draw</w:t>
            </w:r>
          </w:p>
        </w:tc>
        <w:tc>
          <w:tcPr>
            <w:tcW w:type="dxa" w:w="28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15-25% of total customer base</w:t>
            </w:r>
          </w:p>
        </w:tc>
        <w:tc>
          <w:tcPr>
            <w:tcW w:type="dxa" w:w="32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Growing with regional tourism brand maturation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11. Funding Strategy and Capital Stack</w:t>
      </w:r>
    </w:p>
    <w:p>
      <w:pPr>
        <w:spacing w:before="60" w:after="80"/>
      </w:pPr>
      <w:r>
        <w:t>The Hub's capital requirements are met through a deliberately diversified blended stack combining investor equity, SBA or other lender financing, pre-opening grants serving as equity-equivalent capital where allowable, sponsor-backed buildout packages, vendor deposits, pre-sales, and ongoing economic development grants. Founder cash contribution = $0. This structure is transparent about the founder's current capital position while showing funders how the project can still be capitalized through documented commitments, phased launch discipline, and non-dilutive support.</w:t>
      </w:r>
    </w:p>
    <w:p>
      <w:pPr>
        <w:pStyle w:val="Heading2"/>
      </w:pPr>
      <w:r>
        <w:t>11.0 Funding Dependency Disclosure</w:t>
      </w:r>
    </w:p>
    <w:p>
      <w:r>
        <w:t>Founder capital available for launch is $0. The project will proceed only through a documented capital stack of grants, investor equity, lender financing, sponsor-backed buildout packages, vendor deposits, pre-sales, and/or phased launch savings. No grant, sponsorship, or investor commitment should be treated as secured until documented by award letter, signed sponsorship agreement, LOI, term sheet, or executed funding agreement.</w:t>
      </w:r>
    </w:p>
    <w:p>
      <w:pPr>
        <w:pStyle w:val="Heading2"/>
      </w:pPr>
      <w:r>
        <w:t>11.0A Capital Readiness Dashboard</w:t>
      </w:r>
    </w:p>
    <w:p>
      <w:r>
        <w:t>This dashboard makes the project's current capital position explicit. Because founder cash available for launch is $0, every major funding source is tracked by status and evidence level so grant reviewers, investors, sponsors, and lenders can see what is pending, what is targeted, and what still must be confirmed before full buildout.</w:t>
      </w:r>
    </w:p>
    <w:tbl>
      <w:tblPr>
        <w:tblW w:type="auto" w:w="0"/>
        <w:tblLook w:firstColumn="1" w:firstRow="1" w:lastColumn="0" w:lastRow="0" w:noHBand="0" w:noVBand="1" w:val="04A0"/>
      </w:tblPr>
      <w:tblGrid>
        <w:gridCol w:w="3120"/>
        <w:gridCol w:w="3120"/>
        <w:gridCol w:w="3120"/>
      </w:tblGrid>
      <w:tr>
        <w:tc>
          <w:tcPr>
            <w:tcW w:type="dxa" w:w="3120"/>
          </w:tcPr>
          <w:p>
            <w:r>
              <w:rPr>
                <w:b/>
              </w:rPr>
              <w:t>Capital Item</w:t>
            </w:r>
          </w:p>
        </w:tc>
        <w:tc>
          <w:tcPr>
            <w:tcW w:type="dxa" w:w="3120"/>
          </w:tcPr>
          <w:p>
            <w:r>
              <w:rPr>
                <w:b/>
              </w:rPr>
              <w:t>Current Status</w:t>
            </w:r>
          </w:p>
        </w:tc>
        <w:tc>
          <w:tcPr>
            <w:tcW w:type="dxa" w:w="3120"/>
          </w:tcPr>
          <w:p>
            <w:r>
              <w:rPr>
                <w:b/>
              </w:rPr>
              <w:t>Evidence / Next Step</w:t>
            </w:r>
          </w:p>
        </w:tc>
      </w:tr>
      <w:tr>
        <w:tc>
          <w:tcPr>
            <w:tcW w:type="dxa" w:w="3120"/>
          </w:tcPr>
          <w:p>
            <w:r>
              <w:t>Grants applied / pending</w:t>
            </w:r>
          </w:p>
        </w:tc>
        <w:tc>
          <w:tcPr>
            <w:tcW w:type="dxa" w:w="3120"/>
          </w:tcPr>
          <w:p>
            <w:r>
              <w:t>Pending / In Progress</w:t>
            </w:r>
          </w:p>
        </w:tc>
        <w:tc>
          <w:tcPr>
            <w:tcW w:type="dxa" w:w="3120"/>
          </w:tcPr>
          <w:p>
            <w:r>
              <w:t>Maintain grant calendar; attach applications, award letters, or denial/reapplication notes as they occur</w:t>
            </w:r>
          </w:p>
        </w:tc>
      </w:tr>
      <w:tr>
        <w:tc>
          <w:tcPr>
            <w:tcW w:type="dxa" w:w="3120"/>
          </w:tcPr>
          <w:p>
            <w:r>
              <w:t>Investor conversations / LOIs</w:t>
            </w:r>
          </w:p>
        </w:tc>
        <w:tc>
          <w:tcPr>
            <w:tcW w:type="dxa" w:w="3120"/>
          </w:tcPr>
          <w:p>
            <w:r>
              <w:t>Targeted / Not Yet Committed</w:t>
            </w:r>
          </w:p>
        </w:tc>
        <w:tc>
          <w:tcPr>
            <w:tcW w:type="dxa" w:w="3120"/>
          </w:tcPr>
          <w:p>
            <w:r>
              <w:t>Build investor list, collect non-binding interest letters, and move qualified prospects toward term-sheet discussions</w:t>
            </w:r>
          </w:p>
        </w:tc>
      </w:tr>
      <w:tr>
        <w:tc>
          <w:tcPr>
            <w:tcW w:type="dxa" w:w="3120"/>
          </w:tcPr>
          <w:p>
            <w:r>
              <w:t>Sponsor outreach started</w:t>
            </w:r>
          </w:p>
        </w:tc>
        <w:tc>
          <w:tcPr>
            <w:tcW w:type="dxa" w:w="3120"/>
          </w:tcPr>
          <w:p>
            <w:r>
              <w:t>In Progress</w:t>
            </w:r>
          </w:p>
        </w:tc>
        <w:tc>
          <w:tcPr>
            <w:tcW w:type="dxa" w:w="3120"/>
          </w:tcPr>
          <w:p>
            <w:r>
              <w:t>Convert outreach into named sponsor packages for training kitchen, incubator stall, gift shop, cider/event pad, apprenticeship, and festival support</w:t>
            </w:r>
          </w:p>
        </w:tc>
      </w:tr>
      <w:tr>
        <w:tc>
          <w:tcPr>
            <w:tcW w:type="dxa" w:w="3120"/>
          </w:tcPr>
          <w:p>
            <w:r>
              <w:t>Vendor LOIs</w:t>
            </w:r>
          </w:p>
        </w:tc>
        <w:tc>
          <w:tcPr>
            <w:tcW w:type="dxa" w:w="3120"/>
          </w:tcPr>
          <w:p>
            <w:r>
              <w:t>Targeted</w:t>
            </w:r>
          </w:p>
        </w:tc>
        <w:tc>
          <w:tcPr>
            <w:tcW w:type="dxa" w:w="3120"/>
          </w:tcPr>
          <w:p>
            <w:r>
              <w:t>Collect letters of intent from permanent anchors, incubator candidates, ghost-kitchen users, and retail shelf participants</w:t>
            </w:r>
          </w:p>
        </w:tc>
      </w:tr>
      <w:tr>
        <w:tc>
          <w:tcPr>
            <w:tcW w:type="dxa" w:w="3120"/>
          </w:tcPr>
          <w:p>
            <w:r>
              <w:t>Lender / SBA status</w:t>
            </w:r>
          </w:p>
        </w:tc>
        <w:tc>
          <w:tcPr>
            <w:tcW w:type="dxa" w:w="3120"/>
          </w:tcPr>
          <w:p>
            <w:r>
              <w:t>To Be Confirmed</w:t>
            </w:r>
          </w:p>
        </w:tc>
        <w:tc>
          <w:tcPr>
            <w:tcW w:type="dxa" w:w="3120"/>
          </w:tcPr>
          <w:p>
            <w:r>
              <w:t>Use grants, investor commitments, sponsorships, and vendor LOIs to strengthen lender package before underwriting</w:t>
            </w:r>
          </w:p>
        </w:tc>
      </w:tr>
      <w:tr>
        <w:tc>
          <w:tcPr>
            <w:tcW w:type="dxa" w:w="3120"/>
          </w:tcPr>
          <w:p>
            <w:r>
              <w:t>Remaining funding gap</w:t>
            </w:r>
          </w:p>
        </w:tc>
        <w:tc>
          <w:tcPr>
            <w:tcW w:type="dxa" w:w="3120"/>
          </w:tcPr>
          <w:p>
            <w:r>
              <w:t>To Be Confirmed</w:t>
            </w:r>
          </w:p>
        </w:tc>
        <w:tc>
          <w:tcPr>
            <w:tcW w:type="dxa" w:w="3120"/>
          </w:tcPr>
          <w:p>
            <w:r>
              <w:t>Calculate after grants, investor commitments, sponsorships, vendor deposits, pre-sales, and lender terms are documented</w:t>
            </w:r>
          </w:p>
        </w:tc>
      </w:tr>
    </w:tbl>
    <w:p/>
    <w:p>
      <w:r>
        <w:t>Status labels are intentionally conservative. No capital source is treated as committed until supported by an award letter, signed sponsorship agreement, investor LOI or term sheet, executed vendor agreement, or lender commitment.</w:t>
      </w:r>
    </w:p>
    <w:p>
      <w:pPr>
        <w:pStyle w:val="Heading2"/>
      </w:pPr>
      <w:r>
        <w:t>11.0A Sponsor-Backed Buildout Packages</w:t>
      </w:r>
    </w:p>
    <w:p>
      <w:r>
        <w:t>Outreach has already begun with organizations regarding sponsor-backed buildout packages. These packages let institutions support visible, mission-aligned parts of the Hub while reducing the amount of unrestricted investor or debt capital required.</w:t>
      </w:r>
    </w:p>
    <w:tbl>
      <w:tblPr>
        <w:tblW w:type="auto" w:w="0"/>
        <w:tblLook w:firstColumn="1" w:firstRow="1" w:lastColumn="0" w:lastRow="0" w:noHBand="0" w:noVBand="1" w:val="04A0"/>
      </w:tblPr>
      <w:tblGrid>
        <w:gridCol w:w="4680"/>
        <w:gridCol w:w="4680"/>
      </w:tblGrid>
      <w:tr>
        <w:tc>
          <w:tcPr>
            <w:tcW w:type="dxa" w:w="4680"/>
          </w:tcPr>
          <w:p>
            <w:r>
              <w:rPr>
                <w:b/>
              </w:rPr>
              <w:t>Package</w:t>
            </w:r>
          </w:p>
        </w:tc>
        <w:tc>
          <w:tcPr>
            <w:tcW w:type="dxa" w:w="4680"/>
          </w:tcPr>
          <w:p>
            <w:r>
              <w:rPr>
                <w:b/>
              </w:rPr>
              <w:t>What Sponsor Support Unlocks</w:t>
            </w:r>
          </w:p>
        </w:tc>
      </w:tr>
      <w:tr>
        <w:tc>
          <w:tcPr>
            <w:tcW w:type="dxa" w:w="4680"/>
          </w:tcPr>
          <w:p>
            <w:r>
              <w:t>Training Kitchen / Academy</w:t>
            </w:r>
          </w:p>
        </w:tc>
        <w:tc>
          <w:tcPr>
            <w:tcW w:type="dxa" w:w="4680"/>
          </w:tcPr>
          <w:p>
            <w:r>
              <w:t>Curriculum delivery, ServSafe support, instructor stipends, bilingual materials, and apprenticeship launch</w:t>
            </w:r>
          </w:p>
        </w:tc>
      </w:tr>
      <w:tr>
        <w:tc>
          <w:tcPr>
            <w:tcW w:type="dxa" w:w="4680"/>
          </w:tcPr>
          <w:p>
            <w:r>
              <w:t>Incubator Stall Package</w:t>
            </w:r>
          </w:p>
        </w:tc>
        <w:tc>
          <w:tcPr>
            <w:tcW w:type="dxa" w:w="4680"/>
          </w:tcPr>
          <w:p>
            <w:r>
              <w:t>Reduced entry cost for one emerging vendor, starter equipment, signage, and first-90-day coaching</w:t>
            </w:r>
          </w:p>
        </w:tc>
      </w:tr>
      <w:tr>
        <w:tc>
          <w:tcPr>
            <w:tcW w:type="dxa" w:w="4680"/>
          </w:tcPr>
          <w:p>
            <w:r>
              <w:t>Cider/Event Pad</w:t>
            </w:r>
          </w:p>
        </w:tc>
        <w:tc>
          <w:tcPr>
            <w:tcW w:type="dxa" w:w="4680"/>
          </w:tcPr>
          <w:p>
            <w:r>
              <w:t>Outdoor proof events, cider tastings, small concerts, cultural programming, and phased-launch revenue</w:t>
            </w:r>
          </w:p>
        </w:tc>
      </w:tr>
      <w:tr>
        <w:tc>
          <w:tcPr>
            <w:tcW w:type="dxa" w:w="4680"/>
          </w:tcPr>
          <w:p>
            <w:r>
              <w:t>Gift Shop / Retail Shelf</w:t>
            </w:r>
          </w:p>
        </w:tc>
        <w:tc>
          <w:tcPr>
            <w:tcW w:type="dxa" w:w="4680"/>
          </w:tcPr>
          <w:p>
            <w:r>
              <w:t>Display fixtures, retail POS setup, packaging support, inventory launch, and vendor product testing</w:t>
            </w:r>
          </w:p>
        </w:tc>
      </w:tr>
      <w:tr>
        <w:tc>
          <w:tcPr>
            <w:tcW w:type="dxa" w:w="4680"/>
          </w:tcPr>
          <w:p>
            <w:r>
              <w:t>Workforce Programming</w:t>
            </w:r>
          </w:p>
        </w:tc>
        <w:tc>
          <w:tcPr>
            <w:tcW w:type="dxa" w:w="4680"/>
          </w:tcPr>
          <w:p>
            <w:r>
              <w:t>Paid apprenticeships, job-readiness training, uniforms, certifications, and partner reporting</w:t>
            </w:r>
          </w:p>
        </w:tc>
      </w:tr>
      <w:tr>
        <w:tc>
          <w:tcPr>
            <w:tcW w:type="dxa" w:w="4680"/>
          </w:tcPr>
          <w:p>
            <w:r>
              <w:t>Community Festival</w:t>
            </w:r>
          </w:p>
        </w:tc>
        <w:tc>
          <w:tcPr>
            <w:tcW w:type="dxa" w:w="4680"/>
          </w:tcPr>
          <w:p>
            <w:r>
              <w:t>Taste of Southern New Mexico launch event, vendor booths, local producer showcases, and tourism promotion</w:t>
            </w:r>
          </w:p>
        </w:tc>
      </w:tr>
    </w:tbl>
    <w:p/>
    <w:p>
      <w:pPr>
        <w:pStyle w:val="Heading2"/>
      </w:pPr>
      <w:r>
        <w:t>11.0B Investor Use of Funds</w:t>
      </w:r>
    </w:p>
    <w:tbl>
      <w:tblPr>
        <w:tblW w:type="auto" w:w="0"/>
        <w:tblLook w:firstColumn="1" w:firstRow="1" w:lastColumn="0" w:lastRow="0" w:noHBand="0" w:noVBand="1" w:val="04A0"/>
      </w:tblPr>
      <w:tblGrid>
        <w:gridCol w:w="4680"/>
        <w:gridCol w:w="4680"/>
      </w:tblGrid>
      <w:tr>
        <w:tc>
          <w:tcPr>
            <w:tcW w:type="dxa" w:w="4680"/>
          </w:tcPr>
          <w:p>
            <w:r>
              <w:rPr>
                <w:b/>
              </w:rPr>
              <w:t>Use</w:t>
            </w:r>
          </w:p>
        </w:tc>
        <w:tc>
          <w:tcPr>
            <w:tcW w:type="dxa" w:w="4680"/>
          </w:tcPr>
          <w:p>
            <w:r>
              <w:rPr>
                <w:b/>
              </w:rPr>
              <w:t>Purpose</w:t>
            </w:r>
          </w:p>
        </w:tc>
      </w:tr>
      <w:tr>
        <w:tc>
          <w:tcPr>
            <w:tcW w:type="dxa" w:w="4680"/>
          </w:tcPr>
          <w:p>
            <w:r>
              <w:t>Site control</w:t>
            </w:r>
          </w:p>
        </w:tc>
        <w:tc>
          <w:tcPr>
            <w:tcW w:type="dxa" w:w="4680"/>
          </w:tcPr>
          <w:p>
            <w:r>
              <w:t>Deposits, option payments, due diligence, and legal review needed to secure a viable location</w:t>
            </w:r>
          </w:p>
        </w:tc>
      </w:tr>
      <w:tr>
        <w:tc>
          <w:tcPr>
            <w:tcW w:type="dxa" w:w="4680"/>
          </w:tcPr>
          <w:p>
            <w:r>
              <w:t>Architecture and engineering</w:t>
            </w:r>
          </w:p>
        </w:tc>
        <w:tc>
          <w:tcPr>
            <w:tcW w:type="dxa" w:w="4680"/>
          </w:tcPr>
          <w:p>
            <w:r>
              <w:t>Drawings, cost estimates, code review, equipment planning, and permit-ready documentation</w:t>
            </w:r>
          </w:p>
        </w:tc>
      </w:tr>
      <w:tr>
        <w:tc>
          <w:tcPr>
            <w:tcW w:type="dxa" w:w="4680"/>
          </w:tcPr>
          <w:p>
            <w:r>
              <w:t>Permits and professional fees</w:t>
            </w:r>
          </w:p>
        </w:tc>
        <w:tc>
          <w:tcPr>
            <w:tcW w:type="dxa" w:w="4680"/>
          </w:tcPr>
          <w:p>
            <w:r>
              <w:t>City, NMED, alcohol licensing, legal, accounting, insurance, and grant compliance setup</w:t>
            </w:r>
          </w:p>
        </w:tc>
      </w:tr>
      <w:tr>
        <w:tc>
          <w:tcPr>
            <w:tcW w:type="dxa" w:w="4680"/>
          </w:tcPr>
          <w:p>
            <w:r>
              <w:t>Equipment deposits</w:t>
            </w:r>
          </w:p>
        </w:tc>
        <w:tc>
          <w:tcPr>
            <w:tcW w:type="dxa" w:w="4680"/>
          </w:tcPr>
          <w:p>
            <w:r>
              <w:t>Kitchen, cider bar, retail, POS, refrigeration, ventilation, and commissary equipment deposits</w:t>
            </w:r>
          </w:p>
        </w:tc>
      </w:tr>
      <w:tr>
        <w:tc>
          <w:tcPr>
            <w:tcW w:type="dxa" w:w="4680"/>
          </w:tcPr>
          <w:p>
            <w:r>
              <w:t>Working capital</w:t>
            </w:r>
          </w:p>
        </w:tc>
        <w:tc>
          <w:tcPr>
            <w:tcW w:type="dxa" w:w="4680"/>
          </w:tcPr>
          <w:p>
            <w:r>
              <w:t>Pre-opening payroll, vendor recruitment, operating reserves, marketing, and Month 1-18 ramp support</w:t>
            </w:r>
          </w:p>
        </w:tc>
      </w:tr>
      <w:tr>
        <w:tc>
          <w:tcPr>
            <w:tcW w:type="dxa" w:w="4680"/>
          </w:tcPr>
          <w:p>
            <w:r>
              <w:t>Grant matching</w:t>
            </w:r>
          </w:p>
        </w:tc>
        <w:tc>
          <w:tcPr>
            <w:tcW w:type="dxa" w:w="4680"/>
          </w:tcPr>
          <w:p>
            <w:r>
              <w:t>Private match needed to unlock reimbursable grants or strengthen applications</w:t>
            </w:r>
          </w:p>
        </w:tc>
      </w:tr>
      <w:tr>
        <w:tc>
          <w:tcPr>
            <w:tcW w:type="dxa" w:w="4680"/>
          </w:tcPr>
          <w:p>
            <w:r>
              <w:t>Proof events</w:t>
            </w:r>
          </w:p>
        </w:tc>
        <w:tc>
          <w:tcPr>
            <w:tcW w:type="dxa" w:w="4680"/>
          </w:tcPr>
          <w:p>
            <w:r>
              <w:t>Pop-up events, vendor testing, customer surveys, sponsor activation, and investor validation</w:t>
            </w:r>
          </w:p>
        </w:tc>
      </w:tr>
      <w:tr>
        <w:tc>
          <w:tcPr>
            <w:tcW w:type="dxa" w:w="4680"/>
          </w:tcPr>
          <w:p>
            <w:r>
              <w:t>Buildout deposits</w:t>
            </w:r>
          </w:p>
        </w:tc>
        <w:tc>
          <w:tcPr>
            <w:tcW w:type="dxa" w:w="4680"/>
          </w:tcPr>
          <w:p>
            <w:r>
              <w:t>Contractor mobilization, long-lead equipment, and early construction commitments</w:t>
            </w:r>
          </w:p>
        </w:tc>
      </w:tr>
    </w:tbl>
    <w:p/>
    <w:p>
      <w:pPr>
        <w:pStyle w:val="Heading2"/>
      </w:pPr>
      <w:r>
        <w:t>11.0C Capital Contingency Plan</w:t>
      </w:r>
    </w:p>
    <w:p>
      <w:r>
        <w:t>Because founder cash available for launch is $0, the Plan A / Plan B / Plan C launch strategy is not optional contingency language; it is the operating discipline that prevents the Hub from committing to a full fixed-cost buildout before the capital stack is real.</w:t>
      </w:r>
    </w:p>
    <w:p>
      <w:r>
        <w:t>Full indoor buildout should not begin until core funding milestones are documented: site control, grant or sponsor commitments, investor commitments or LOIs, lender path, vendor LOIs, and a working capital plan sufficient for the Year 1 ramp.</w:t>
      </w:r>
    </w:p>
    <w:tbl>
      <w:tblPr>
        <w:tblW w:type="auto" w:w="0"/>
        <w:tblLook w:firstColumn="1" w:firstRow="1" w:lastColumn="0" w:lastRow="0" w:noHBand="0" w:noVBand="1" w:val="04A0"/>
      </w:tblPr>
      <w:tblGrid>
        <w:gridCol w:w="3120"/>
        <w:gridCol w:w="3120"/>
        <w:gridCol w:w="3120"/>
      </w:tblGrid>
      <w:tr>
        <w:tc>
          <w:tcPr>
            <w:tcW w:type="dxa" w:w="3120"/>
          </w:tcPr>
          <w:p>
            <w:r>
              <w:rPr>
                <w:b/>
              </w:rPr>
              <w:t>Path</w:t>
            </w:r>
          </w:p>
        </w:tc>
        <w:tc>
          <w:tcPr>
            <w:tcW w:type="dxa" w:w="3120"/>
          </w:tcPr>
          <w:p>
            <w:r>
              <w:rPr>
                <w:b/>
              </w:rPr>
              <w:t>Trigger</w:t>
            </w:r>
          </w:p>
        </w:tc>
        <w:tc>
          <w:tcPr>
            <w:tcW w:type="dxa" w:w="3120"/>
          </w:tcPr>
          <w:p>
            <w:r>
              <w:rPr>
                <w:b/>
              </w:rPr>
              <w:t>Action</w:t>
            </w:r>
          </w:p>
        </w:tc>
      </w:tr>
      <w:tr>
        <w:tc>
          <w:tcPr>
            <w:tcW w:type="dxa" w:w="3120"/>
          </w:tcPr>
          <w:p>
            <w:r>
              <w:t>Plan A - Full Capital Stack</w:t>
            </w:r>
          </w:p>
        </w:tc>
        <w:tc>
          <w:tcPr>
            <w:tcW w:type="dxa" w:w="3120"/>
          </w:tcPr>
          <w:p>
            <w:r>
              <w:t>Grants, investor equity, sponsorships, and lender financing reach required threshold</w:t>
            </w:r>
          </w:p>
        </w:tc>
        <w:tc>
          <w:tcPr>
            <w:tcW w:type="dxa" w:w="3120"/>
          </w:tcPr>
          <w:p>
            <w:r>
              <w:t>Proceed with full indoor food hall, commissary, cider bar, gift shop, and incubator launch</w:t>
            </w:r>
          </w:p>
        </w:tc>
      </w:tr>
      <w:tr>
        <w:tc>
          <w:tcPr>
            <w:tcW w:type="dxa" w:w="3120"/>
          </w:tcPr>
          <w:p>
            <w:r>
              <w:t>Plan B - Phased Launch</w:t>
            </w:r>
          </w:p>
        </w:tc>
        <w:tc>
          <w:tcPr>
            <w:tcW w:type="dxa" w:w="3120"/>
          </w:tcPr>
          <w:p>
            <w:r>
              <w:t>Partial grants/investor commitments secured but full buildout remains underfunded</w:t>
            </w:r>
          </w:p>
        </w:tc>
        <w:tc>
          <w:tcPr>
            <w:tcW w:type="dxa" w:w="3120"/>
          </w:tcPr>
          <w:p>
            <w:r>
              <w:t>Launch lower-capital food truck park, cider/event pad, pop-up proof events, retail shelf, and commissary partnerships before indoor buildout</w:t>
            </w:r>
          </w:p>
        </w:tc>
      </w:tr>
      <w:tr>
        <w:tc>
          <w:tcPr>
            <w:tcW w:type="dxa" w:w="3120"/>
          </w:tcPr>
          <w:p>
            <w:r>
              <w:t>Plan C - Proof-First Delay</w:t>
            </w:r>
          </w:p>
        </w:tc>
        <w:tc>
          <w:tcPr>
            <w:tcW w:type="dxa" w:w="3120"/>
          </w:tcPr>
          <w:p>
            <w:r>
              <w:t>Major grants, SBA financing, or investor commitments are delayed or declined</w:t>
            </w:r>
          </w:p>
        </w:tc>
        <w:tc>
          <w:tcPr>
            <w:tcW w:type="dxa" w:w="3120"/>
          </w:tcPr>
          <w:p>
            <w:r>
              <w:t>Pause full buildout, run proof events, deepen sponsor outreach, collect LOIs, revise scope, and reapply with stronger evidence</w:t>
            </w:r>
          </w:p>
        </w:tc>
      </w:tr>
    </w:tbl>
    <w:p/>
    <w:p>
      <w:pPr>
        <w:spacing w:before="80" w:after="80"/>
      </w:pPr>
      <w:r>
        <w:t xml:space="preserve"/>
      </w:r>
    </w:p>
    <w:p>
      <w:pPr>
        <w:pStyle w:val="Heading2"/>
        <w:spacing w:before="320" w:after="100"/>
      </w:pPr>
      <w:r>
        <w:rPr>
          <w:rFonts w:ascii="Arial" w:cs="Arial" w:eastAsia="Arial" w:hAnsi="Arial"/>
          <w:b/>
          <w:bCs/>
          <w:color w:val="2563A8"/>
          <w:sz w:val="28"/>
          <w:szCs w:val="28"/>
        </w:rPr>
        <w:t xml:space="preserve">11.1 Capital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Amount</w:t>
            </w:r>
          </w:p>
        </w:tc>
        <w:tc>
          <w:tcPr>
            <w:tcW w:type="dxa" w:w="2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Pre-Opening Grants (Equity Equivalent)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t>Grant / investor equity-equivalent funding (no founder cash)</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be determined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t>Founder cash = $0; equity component must be funded through grants, investor commitments, sponsorships, or phased launch savings; applications and outreach in progress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7(a) Loan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Debt financing</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$700,000–$900,000</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Pre-qualification in progress; pre-qual meeting scheduled</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(NM Finance Authority)</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Economic development grant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$100,000-$200,000</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 prepared -- Q1 2026 submission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HFFF (Historic and Future Funds of the Farm)</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Rural economic development grant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$75,000-$125,000</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Application prepared -- Q1 2026 submission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EPE Economic Development (via MVEDA)</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Regional utility-sponsored economic grant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$65,000-$80,000</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MVEDA outreach initiated; $100K grant precedent confirmed for Las Cruces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Building improvement matching grant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 (cap)</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Apply Phase 2 concurrent with architect cost documentation</w:t>
            </w:r>
          </w:p>
        </w:tc>
      </w:tr>
      <w:tr>
        <w:tc>
          <w:tcPr>
            <w:tcW w:type="dxa" w:w="1600"/>
          </w:tcPr>
          <w:p>
            <w:pPr>
              <w:spacing w:before="60" w:after="60"/>
            </w:pPr>
            <w:r>
              <w:rPr>
                <w:sz w:val="20"/>
                <w:szCs w:val="20"/>
              </w:rPr>
              <w:t>WIOA / EmployNM (Workforce Incentivetive Program)</w:t>
            </w:r>
          </w:p>
        </w:tc>
        <w:tc>
          <w:tcPr>
            <w:tcW w:type="dxa" w:w="1300"/>
          </w:tcPr>
          <w:p>
            <w:pPr>
              <w:spacing w:before="60" w:after="60"/>
            </w:pPr>
            <w:r>
              <w:rPr>
                <w:sz w:val="20"/>
                <w:szCs w:val="20"/>
              </w:rPr>
              <w:t>Wage reimbursement grant</w:t>
            </w:r>
          </w:p>
        </w:tc>
        <w:tc>
          <w:tcPr>
            <w:tcW w:type="dxa" w:w="2000"/>
          </w:tcPr>
          <w:p>
            <w:pPr>
              <w:spacing w:before="60" w:after="60"/>
            </w:pPr>
            <w:r>
              <w:rPr>
                <w:sz w:val="20"/>
                <w:szCs w:val="20"/>
              </w:rPr>
              <w:t>$135,000–$185,000</w:t>
            </w:r>
          </w:p>
        </w:tc>
        <w:tc>
          <w:tcPr>
            <w:tcW w:type="dxa" w:w="3100"/>
          </w:tcPr>
          <w:p>
            <w:pPr>
              <w:spacing w:before="60" w:after="60"/>
            </w:pPr>
            <w:r>
              <w:rPr>
                <w:sz w:val="20"/>
                <w:szCs w:val="20"/>
              </w:rPr>
              <w:t>Apply Month 1, BEFORE NMFA — WIOA enrollment begins immediately; contact American Job Center Las Cruces. 50–75% of first 6 months of wages reimbursed across 15 new positions. Single largest grant in stack.</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 USDA / Tourism Grants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Various public and federal grants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$50,000-$100,000+</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Pipeline identified; Q2 2026 applications scheduled</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AVAILABLE FUNDING</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$1,705,000-$2,035,000</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Exceeds $1.3M-$1.4M total project requirement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11.2 Use of Funds</w:t>
      </w:r>
    </w:p>
    <w:p>
      <w:pPr>
        <w:pBdr>
          <w:left w:val="thick" w:color="8B1A1A" w:sz="24" w:space="8"/>
        </w:pBdr>
        <w:shd w:fill="FBF0EE" w:val="clear"/>
        <w:spacing w:before="80" w:after="40"/>
      </w:pPr>
      <w:r>
        <w:rPr>
          <w:b/>
          <w:sz w:val="21"/>
          <w:szCs w:val="21"/>
          <w:color w:val="8B1A1A"/>
        </w:rPr>
        <w:t xml:space="preserve">NOTE: The categories below represent eligible use categories for planning purposes. The governing Uses of Funds schedule for SBA and grant submissions is Appendix F.1 ($1.502M total, single canonical budget). The percentage column in this section is illustrative and should not be used for underwriting. The Appendix F.1 schedule supersedes this table.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200"/>
        <w:gridCol w:w="42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Category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Percentage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Amount (Est.)</w:t>
            </w:r>
          </w:p>
        </w:tc>
        <w:tc>
          <w:tcPr>
            <w:tcW w:type="dxa" w:w="4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Items</w:t>
            </w:r>
          </w:p>
        </w:tc>
      </w:tr>
      <w:tr>
        <w:tc>
          <w:tcPr>
            <w:tcW w:type="dxa" w:w="1440"/>
          </w:tcPr>
          <w:p>
            <w:pPr>
              <w:spacing w:before="80" w:after="80"/>
            </w:pPr>
            <w:r>
              <w:rPr>
                <w:b/>
                <w:sz w:val="20"/>
                <w:szCs w:val="20"/>
              </w:rPr>
              <w:t>Property Acquisition or Construction</w:t>
            </w:r>
          </w:p>
        </w:tc>
        <w:tc>
          <w:tcPr>
            <w:tcW w:type="dxa" w:w="1280"/>
          </w:tcPr>
          <w:p>
            <w:pPr>
              <w:spacing w:before="80" w:after="80"/>
            </w:pPr>
            <w:r>
              <w:rPr>
                <w:sz w:val="20"/>
                <w:szCs w:val="20"/>
              </w:rPr>
              <w:t>40–55%</w:t>
            </w:r>
          </w:p>
        </w:tc>
        <w:tc>
          <w:tcPr>
            <w:tcW w:type="dxa" w:w="1800"/>
          </w:tcPr>
          <w:p>
            <w:pPr>
              <w:spacing w:before="80" w:after="80"/>
            </w:pPr>
            <w:r>
              <w:rPr>
                <w:sz w:val="20"/>
                <w:szCs w:val="20"/>
              </w:rPr>
              <w:t>$700,000–$900,000</w:t>
            </w:r>
          </w:p>
        </w:tc>
        <w:tc>
          <w:tcPr>
            <w:tcW w:type="dxa" w:w="5240"/>
          </w:tcPr>
          <w:p>
            <w:pPr>
              <w:spacing w:before="80" w:after="80"/>
            </w:pPr>
            <w:r>
              <w:rPr>
                <w:sz w:val="20"/>
                <w:szCs w:val="20"/>
              </w:rPr>
              <w:t>Building purchase (existing commercial structure) or ground-up construction on MRA or city-identified catalytic site. SBA 7(a) primary vehicle; 10% equity injection requirement satisfied by pre-opening grant awards (owner cash = $0). Ownership eliminates lease risk and rent escalation, builds long-term equity, and qualifies for MRA property tax deferral of $40K–$125K over 5 years. Preferred approach: purpose-built construction on the W. Picacho Tashiro site, which the City is actively seeking to develop with a commercial food and dining anchor.</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Facility Buildout and Dedicated Kitchen Infrastructure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50-65%</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$650,000-$845,000</w:t>
            </w:r>
          </w:p>
        </w:tc>
        <w:tc>
          <w:tcPr>
            <w:tcW w:type="dxa" w:w="4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Per-stall kitchen equipment; commissary kitchen; cider bar tap system and buildout; HVAC; plumbing; electrical; ADA compliance; fire suppression; stall counters; flooring; signage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Working Capital and Pre-Opening Ramp</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20-30%</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$260,000-$390,000</w:t>
            </w:r>
          </w:p>
        </w:tc>
        <w:tc>
          <w:tcPr>
            <w:tcW w:type="dxa" w:w="4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Pre-opening staff salaries (founder, GM, Operations Manager during buildout); vendor recruitment and taste-testing; grand opening marketing; operating reserves through Month 18-20 breakeven; legal; accounting; permitting</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Training and Incubator Programming</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8-12%</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$104,000-$156,000</w:t>
            </w:r>
          </w:p>
        </w:tc>
        <w:tc>
          <w:tcPr>
            <w:tcW w:type="dxa" w:w="4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Curriculum development; paid apprenticeship wages ($15-$18/hour); ServSafe certification support; mentorship program coordination; vendor coaching systems and performance tracking</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Integration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5-8%</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$65,000-$104,000</w:t>
            </w:r>
          </w:p>
        </w:tc>
        <w:tc>
          <w:tcPr>
            <w:tcW w:type="dxa" w:w="4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Bulk cold storage for local seasonal produce; collective purchasing coordination systems; farmers' market partnerships; producer storytelling and menu labeling materials; NM cidery supply chain development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11.3 Return on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Investor Metric</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Value</w:t>
            </w:r>
          </w:p>
        </w:tc>
        <w:tc>
          <w:tcPr>
            <w:tcW w:type="dxa" w:w="3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Investment Required</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$1.8M–$2.2M</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Inclusive of all buildout, working capital, and pre-opening costs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1 EBITDA</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$114,000</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 margin at conservative 70% occupancy ramp</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2 EBITDA</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$384,000</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27% margin at 85%+ full-year occupancy</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3 EBITDA</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$570,000</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 margin at mature 90%+ occupancy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Breakeven Point</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18-20</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Confirmed across all realistic occupancy scenarios including downside stress test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Cumulative Profit</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$1.1M+</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Net of all operating costs at conservative projections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3-Year Cumulative ROI</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Based on $1.3M total investment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Franchise / Expansion Potential</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3+</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Model is replicable; Hub alumni network creates natural expansion pipeline</w:t>
            </w:r>
          </w:p>
        </w:tc>
      </w:tr>
    </w:tbl>
    <w:p>
      <w:r>
        <w:br w:type="page"/>
      </w:r>
    </w:p>
    <w:p>
      <w:pPr>
        <w:pStyle w:val="Heading2"/>
      </w:pPr>
      <w:r>
        <w:t>11.4 Risk-Adjusted Return</w:t>
      </w:r>
    </w:p>
    <w:p>
      <w:r>
        <w:t>Investor returns should be evaluated against milestone execution, not best-case launch assumptions. The GAAP ramp-year view may show a Year 1 operating loss while vendors onboard, events mature, and customer habits form; the plan therefore requires working capital reserve coverage before full buildout obligations are accepted.</w:t>
      </w:r>
    </w:p>
    <w:p>
      <w:r>
        <w:t>Risk-adjusted upside comes from proving demand before committing all fixed costs. Phased launch options, sponsor-backed buildout packages, vendor deposits, Cider Club and event pre-sales, gift shop retail tests, and pop-up proof events all reduce the amount of speculative capital exposed before the model is validated.</w:t>
      </w:r>
    </w:p>
    <w:p>
      <w:r>
        <w:t>The investor story is strongest when each funding release is tied to evidence: site control, grant status, sponsor commitments, vendor LOIs, proof-event sales, lender progress, and reserve coverage. This approach protects credibility with lenders and makes the return case more disciplined for investors.</w:t>
      </w:r>
    </w:p>
    <w:p>
      <w:pPr>
        <w:pStyle w:val="Heading2"/>
      </w:pPr>
      <w:r>
        <w:t>11.4 Investor Exit and Return Scenarios</w:t>
      </w:r>
    </w:p>
    <w:p>
      <w:r>
        <w:t>Investor return mechanics will be finalized with legal and tax counsel, but the plan supports several practical pathways: preferred return from cash flow after stabilization, founder or company buyback, refinance after stabilized operating history, real estate appreciation if the project controls property, long-term profit participation, or conversion into a project-specific preferred equity position.</w:t>
      </w:r>
    </w:p>
    <w:p>
      <w:r>
        <w:t>Because founder cash is $0, investor security and priority must be described clearly before funds are accepted. Potential protections include use-of-funds controls, milestone-based release of funds, preferred return rights, collateral or lien position where legally available, reporting covenants, and defined remedies if the project does not reach funding milestones.</w:t>
      </w:r>
    </w:p>
    <w:p>
      <w:pPr>
        <w:pStyle w:val="Heading1"/>
        <w:pBdr>
          <w:bottom w:val="single" w:color="2563A8" w:sz="6" w:space="8"/>
        </w:pBdr>
        <w:spacing w:before="480" w:after="140"/>
      </w:pPr>
      <w:r>
        <w:rPr>
          <w:rFonts w:ascii="Arial" w:cs="Arial" w:eastAsia="Arial" w:hAnsi="Arial"/>
          <w:b/>
          <w:bCs/>
          <w:color w:val="1B3A5C"/>
          <w:sz w:val="36"/>
          <w:szCs w:val="36"/>
        </w:rPr>
        <w:t xml:space="preserve">12. Implementation Roadmap</w:t>
      </w:r>
    </w:p>
    <w:p>
      <w:pPr>
        <w:pStyle w:val="Heading2"/>
      </w:pPr>
      <w:r>
        <w:t>12.0 Pop-Up Proof Events</w:t>
      </w:r>
    </w:p>
    <w:p>
      <w:r>
        <w:t>Before full buildout, the Hub should run 2-3 pop-up proof events with local vendors. Each event should document attendance, gross sales, average ticket, customer feedback, email signups, vendor performance, sponsor interest, media reach, and lessons for the permanent operating model.</w:t>
      </w:r>
    </w:p>
    <w:p>
      <w:r>
        <w:t>These proof events give grant reviewers, lenders, sponsors, and investors concrete evidence of demand while allowing the Hub to test menus, pricing, event operations, retail products, and bilingual vendor support before committing full capital.</w:t>
      </w:r>
    </w:p>
    <w:p>
      <w:pPr>
        <w:spacing w:before="60" w:after="80"/>
      </w:pPr>
      <w:r>
        <w:rPr>
          <w:rFonts w:ascii="Arial" w:cs="Arial" w:eastAsia="Arial" w:hAnsi="Arial"/>
          <w:color w:val="1A1A1A"/>
          <w:sz w:val="22"/>
          <w:szCs w:val="22"/>
        </w:rPr>
        <w:t xml:space="preserve">The implementation is structured in four phases across 10+ months to Grand Opening in Q1–Q2 2027 (February–April 2027 target), with explicit dependency management, licensing timeline buffers, and contingency triggers built into the schedule.</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Phase 1 -- Validation, Partnerships, and Licensing (Months 1-3)</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3960"/>
      </w:tblGrid>
      <w:tr>
        <w:tc>
          <w:tcPr>
            <w:tcW w:type="dxa" w:w="4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Priority</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Engage attorney -- initiate liquor license application immediately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CRITICAL: 30-120 day NM ABC window threatens opening if delayed</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NM Dispenser license quota at rld.nm.gov/abc; plan secondary-market purchase if needed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CRITICAL: quota system may add $5K-$50K+ and 30-60 days to timeline</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Obtain NM CRS Tax Registration (prerequisite for liquor license application)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Essential: cannot file liquor license without this</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Contact DLCP, MVEDA, Visit Las Cruces, Greater Las Cruces Chamber, and SVEDC (Albuquerque) -- formal introductions to all key ecosystem partners. Also contact City of Las Cruces Economic Development MRA team (Elizabeth Teeters / Celina Morales) re: W. Picacho MRA and El Paseo/S. Solano MRA -- the MRA plans name food halls and commercial kitchens as explicit priorities, opening access to MRA implementation funding and partnership</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early relationships strengthen all subsequent grant applications</w:t>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SVEDC (South Valley Economic Development Center, Albuquerque) -- introduce Hub concept; propose formal referral partnership for Mariposa graduates with Las Cruces roots seeking a retail food stall; request letter of support for grant applications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Month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High: SVEDC graduates are pre-vetted operators who have already completed 1-5 years of food business incubation -- the highest-quality incubator pipeline candidates available; SVEDC letter of support strengthens USDA and NM Dept. of Agriculture grant applications</w:t>
                    </w:r>
                  </w:p>
                </w:tc>
              </w:tr>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 research survey (100+ respondents across all four customer segments)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validates assumptions; provides primary data for grant narratives</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vendor commitments finalized (minimum 6, target 8; Hub Signature Restaurant (owner-operated) + Southern BBQ as priority targets)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confirms anchor track viability before full capital commitment</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applicant pipeline (5-8 candidates screened; staggered start dates planned)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Smallman Galley lesson -- staggering requires advance pipeline depth</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NMFA, HFFF, EPE/MVEDA, DLCP Renovate Main Street grant applications submitted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60-120 day processing time; must precede buildout start</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General Manager and Marketing Specialist hired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GM needed for Phase 2 vendor management; reduces founder burnout risk</w:t>
            </w:r>
          </w:p>
        </w:tc>
      </w:tr>
      <w:tr>
        <w:tc>
          <w:tcPr>
            <w:tcW w:type="dxa" w:w="4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Site lease negotiated; zoning clearance verified using City's 2025 Zoning Code ArcGIS layer (las-cruces.maps.arcgis.com, Item d8afcd53b511453e91e8b09aa8221910); term sheet signed. Note: vacancy parcel map is not yet publicly available -- contact City NAT (Neighborhood Action Team) directly for parcel availability data</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Essential: triggers Phase 2 and 30-day public notice for liquor license</w:t>
            </w:r>
          </w:p>
        </w:tc>
      </w:tr>
      <w:tr>
        <w:tc>
          <w:tcPr>
            <w:tcW w:type="dxa" w:w="4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Club pre-registration campaign launched (target 30 founding members)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pre-revenue validation demonstrates cider bar demand to funders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Phase 2 -- Capital Assembly and Design (Months 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2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capital stack targeted: pre-opening grant awards (equity component, owner cash $0) + SBA 7(a) approval + ongoing grant awards</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Architectural plans finalized -- per-stall dedicated kitchen specifications meeting all NMED requirements</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4</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Building permits approved -- commercial kitchen and health department pre-approval</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Site lease fully executed; all zoning clearances on file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5</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license approved OR secondary-market lease license contingency activated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5-7</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Workforce training curricula co-designed with NMSU and Dona Ana Community College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permanent vendor menus finalized, taste-tested, and founder/CEO approved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Beverage Director hired; NM cidery supplier partnerships confirmed in writing</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Cohort 1 (2-3 vendors) selected; staggered license start dates confirmed</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grant application submitted with full architect cost documentation</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5</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Phase 3 -- Buildout and Pre-Launch Marketing (Months 8-10)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Milestone</w:t>
            </w:r>
          </w:p>
        </w:tc>
        <w:tc>
          <w:tcPr>
            <w:tcW w:type="dxa" w:w="2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Target</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facility buildout complete -- all dedicated stall kitchens, cider bar, commissary kitchen</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per-stall kitchen equipment installed, tested, and accepted by each vendor operator</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per-stall NMED Retail Food Permits secured; staggered per incubator cohort schedule</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ServSafe Manager certifications verified for every stall before occupancy</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9-allergen compliance posters installed at all required display points</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operations staff hired and fully trained (Operations Manager, Beverage Director, FOH Supervisor, part-time staff)</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permanent vendors operational in assigned stalls with unified POS active</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Cohort 1 onboarded with staggered move-in dates; kitchen orientation complete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license active; all operating permits in hand before any alcohol service</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10</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 Cider Club founding members enrolled before Grand Opening</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9-10</w:t>
            </w:r>
          </w:p>
        </w:tc>
      </w:tr>
      <w:tr>
        <w:tc>
          <w:tcPr>
            <w:tcW w:type="dxa" w:w="7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 opening for staff, vendors, invited community partners (DLCP, Visit Las Cruces, MVEDA, city officials)</w:t>
            </w:r>
          </w:p>
        </w:tc>
        <w:tc>
          <w:tcPr>
            <w:tcW w:type="dxa" w:w="2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10</w:t>
            </w:r>
          </w:p>
        </w:tc>
      </w:tr>
      <w:tr>
        <w:tc>
          <w:tcPr>
            <w:tcW w:type="dxa" w:w="7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Grand Opening Event -- media, community leaders, regional press, influencer coverage</w:t>
            </w:r>
          </w:p>
        </w:tc>
        <w:tc>
          <w:tcPr>
            <w:tcW w:type="dxa" w:w="2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Q1–Q2 2027 (target)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Phase 4 -- Launch, Optimize, and Scale (Months 11-24+)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Objectives</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Metrics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11-13</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Launch and brand stabilization; Cultural Festival #1; Cider Club momentum</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50-60% occupancy; 50+ Cider Club members; first monthly vendor P&amp;L reviews; DLCP and Visit Las Cruces marketing activation</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14-18</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 occupancy; event calendar mature; first permanent stall evaluations; Grant Report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 occupancy; 100+ Cider Club members; first Stage 2 permanent stall eligibility assessments; NMFA/HFFF grant reporting</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19-24+</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90-100% occupancy; first permanent stall promotions; first independent graduations; Year 2 planning</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 incubator-to-permanent designations; alumni network launch; first graduation press coverage; Year 2 grant renewals submitted</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13. Risk Management</w:t>
      </w:r>
    </w:p>
    <w:p>
      <w:pPr>
        <w:pBdr>
          <w:top w:val="single" w:color="C0392B" w:sz="6" w:space="4"/>
          <w:left w:val="thick" w:color="C0392B" w:sz="24" w:space="8"/>
          <w:bottom w:val="single" w:color="C0392B" w:sz="6" w:space="4"/>
        </w:pBdr>
        <w:shd w:fill="FEF0EE" w:val="clear"/>
        <w:spacing w:before="120" w:after="80"/>
      </w:pPr>
      <w:r>
        <w:rPr>
          <w:b/>
          <w:sz w:val="21"/>
          <w:szCs w:val="21"/>
          <w:color w:val="C0392B"/>
        </w:rPr>
        <w:t xml:space="preserve">TIER-1 RISK DISCLOSURE — Debt Service Coverage Ratio (DSCR)</w:t>
      </w:r>
    </w:p>
    <w:p>
      <w:pPr>
        <w:pBdr>
          <w:left w:val="thick" w:color="C0392B" w:sz="24" w:space="8"/>
          <w:bottom w:val="single" w:color="C0392B" w:sz="6" w:space="4"/>
        </w:pBdr>
        <w:shd w:fill="FEF0EE" w:val="clear"/>
        <w:spacing w:before="40" w:after="80"/>
      </w:pPr>
      <w:r>
        <w:rPr>
          <w:sz w:val="21"/>
          <w:szCs w:val="21"/>
        </w:rPr>
        <w:t xml:space="preserve">Per Appendix F.6, the Hub’s DSCR is projected to fall below the SBA standard 1.25x covenant in Years 1 and 2 (Year 1: approximately 2.38 on interest-only basis, but below 1.25x on full P&amp;I basis; Year 2 DSCR approximately 0.44 on full P&amp;I). This is a known and disclosed risk. It is the direct result of the Year 1 operating loss during vendor ramp-up — not a structural deficiency in the business model. Mitigation strategy: (1) negotiate a lender-committed stepped-covenant agreement with the SBA 7(a) lender prior to underwriting submission — deferring full DSCR covenant testing to Year 3 when the Appendix F.2 model shows $317,000 EBITDA and a passing ratio; (2) present the $272,000 working capital reserve as evidence that debt service will be met from reserves during the ramp period even if EBITDA is negative; (3) document any committed interest-only period in the loan structure. This plan must not be distributed to SBA underwriters without a committed lender step-covenant agreement or alternative DSCR mitigation documented in writing.</w:t>
      </w:r>
    </w:p>
    <w:p>
      <w:pPr>
        <w:spacing w:before="60" w:after="80"/>
      </w:pPr>
      <w:r>
        <w:rPr>
          <w:rFonts w:ascii="Arial" w:cs="Arial" w:eastAsia="Arial" w:hAnsi="Arial"/>
          <w:color w:val="1A1A1A"/>
          <w:sz w:val="22"/>
          <w:szCs w:val="22"/>
        </w:rPr>
        <w:t xml:space="preserve">Risk management in this plan reflects genuine failure-mode analysis, not pro forma disclosure. Each risk below has a specific, designed mitigation -- not just an acknowledgment. The engineering background of the founder means risk identification and mitigation design are core competencies, not afterthoughts.</w:t>
      </w:r>
    </w:p>
    <w:p>
      <w:pPr>
        <w:pStyle w:val="Heading2"/>
      </w:pPr>
      <w:r>
        <w:t>13.0 Capital Availability and Funding Failure Risk</w:t>
      </w:r>
    </w:p>
    <w:p>
      <w:r>
        <w:t>The most important startup risk is capital availability. Founder cash available for launch is $0, so the Hub must secure enough grants, investor equity, sponsorships, lender financing, vendor commitments, or phased-launch savings before taking on full buildout obligations.</w:t>
      </w:r>
    </w:p>
    <w:tbl>
      <w:tblPr>
        <w:tblW w:type="auto" w:w="0"/>
        <w:tblLook w:firstColumn="1" w:firstRow="1" w:lastColumn="0" w:lastRow="0" w:noHBand="0" w:noVBand="1" w:val="04A0"/>
      </w:tblPr>
      <w:tblGrid>
        <w:gridCol w:w="4680"/>
        <w:gridCol w:w="4680"/>
      </w:tblGrid>
      <w:tr>
        <w:tc>
          <w:tcPr>
            <w:tcW w:type="dxa" w:w="4680"/>
          </w:tcPr>
          <w:p>
            <w:r>
              <w:rPr>
                <w:b/>
              </w:rPr>
              <w:t>Risk</w:t>
            </w:r>
          </w:p>
        </w:tc>
        <w:tc>
          <w:tcPr>
            <w:tcW w:type="dxa" w:w="4680"/>
          </w:tcPr>
          <w:p>
            <w:r>
              <w:rPr>
                <w:b/>
              </w:rPr>
              <w:t>Mitigation</w:t>
            </w:r>
          </w:p>
        </w:tc>
      </w:tr>
      <w:tr>
        <w:tc>
          <w:tcPr>
            <w:tcW w:type="dxa" w:w="4680"/>
          </w:tcPr>
          <w:p>
            <w:r>
              <w:t>Grants are not awarded</w:t>
            </w:r>
          </w:p>
        </w:tc>
        <w:tc>
          <w:tcPr>
            <w:tcW w:type="dxa" w:w="4680"/>
          </w:tcPr>
          <w:p>
            <w:r>
              <w:t>Activate Plan B or Plan C, reduce initial scope, continue sponsor outreach, run proof events, and reapply with stronger market validation</w:t>
            </w:r>
          </w:p>
        </w:tc>
      </w:tr>
      <w:tr>
        <w:tc>
          <w:tcPr>
            <w:tcW w:type="dxa" w:w="4680"/>
          </w:tcPr>
          <w:p>
            <w:r>
              <w:t>SBA or lender financing is declined</w:t>
            </w:r>
          </w:p>
        </w:tc>
        <w:tc>
          <w:tcPr>
            <w:tcW w:type="dxa" w:w="4680"/>
          </w:tcPr>
          <w:p>
            <w:r>
              <w:t>Pursue phased launch, investor-led equity raise, CDFI/community lender options, smaller site, or delayed permanent buildout</w:t>
            </w:r>
          </w:p>
        </w:tc>
      </w:tr>
      <w:tr>
        <w:tc>
          <w:tcPr>
            <w:tcW w:type="dxa" w:w="4680"/>
          </w:tcPr>
          <w:p>
            <w:r>
              <w:t>Investor commitments are slower than expected</w:t>
            </w:r>
          </w:p>
        </w:tc>
        <w:tc>
          <w:tcPr>
            <w:tcW w:type="dxa" w:w="4680"/>
          </w:tcPr>
          <w:p>
            <w:r>
              <w:t>Use LOIs, sponsor packages, vendor deposits, proof events, and gift shop pre-sales to strengthen the offering</w:t>
            </w:r>
          </w:p>
        </w:tc>
      </w:tr>
      <w:tr>
        <w:tc>
          <w:tcPr>
            <w:tcW w:type="dxa" w:w="4680"/>
          </w:tcPr>
          <w:p>
            <w:r>
              <w:t>Year 1 losses exceed model</w:t>
            </w:r>
          </w:p>
        </w:tc>
        <w:tc>
          <w:tcPr>
            <w:tcW w:type="dxa" w:w="4680"/>
          </w:tcPr>
          <w:p>
            <w:r>
              <w:t>Use working capital reserve, reduce fixed costs, delay full hiring, expand events/catering, and scale operations by milestone</w:t>
            </w:r>
          </w:p>
        </w:tc>
      </w:tr>
      <w:tr>
        <w:tc>
          <w:tcPr>
            <w:tcW w:type="dxa" w:w="4680"/>
          </w:tcPr>
          <w:p>
            <w:r>
              <w:t>Vendor churn affects revenue</w:t>
            </w:r>
          </w:p>
        </w:tc>
        <w:tc>
          <w:tcPr>
            <w:tcW w:type="dxa" w:w="4680"/>
          </w:tcPr>
          <w:p>
            <w:r>
              <w:t>Use staggered licenses, waitlist replacement, coaching protocol, and temporary pop-up/ghost-kitchen formats</w:t>
            </w:r>
          </w:p>
        </w:tc>
      </w:tr>
    </w:tbl>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500"/>
        <w:gridCol w:w="40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Risk</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Probability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w:t>
            </w:r>
          </w:p>
        </w:tc>
        <w:tc>
          <w:tcPr>
            <w:tcW w:type="dxa" w:w="4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Mitigation Strategy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license delay beyond Month 5</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Begin Month 1; engage NM ABC Division immediately; prepare Restaurant A License as fallback; secondary-market lease license as contingency; build 60-day buffer into Phase 3 timeline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Dispenser license quota unavailability (Las Cruces)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Low-Medium -- 20%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rld.nm.gov/abc quota status Month 1; budget $5K-$50K secondary-market purchase contingency; Restaurant A License ($1,050/yr) as fallback if needed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Simultaneous incubator vendor departure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-- 10% with staggered structure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without mitigation</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Staggered license start dates from Day 1 (Smallman Galley lesson applied); maximum 1 slot turns over at any time; permanent majority protects 75%+ of revenue base regardless of incubator activity</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Slow permanent vendor recruitment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-- 25%</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Begin Month 1; Hub Signature Restaurant (owner-operated) fills one anchor slot; Southern BBQ is priority external recruitment target; maintain 10+ qualified candidate pipeline at all times; 70%+ of candidates pre-identified from Las Cruces culinary community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vendor underperformance or failure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-- 20%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 years culinary experience required for admission; quality gate at 8-week intervals; 60-day notice right to remove; rapid replacement pipeline maintained; permanent majority insulates hub revenue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1 revenue shortfall below projections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-- 20%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model remains EBITDA-positive ($32,000) at 60% occupancy stress test; permanent stall baseline provides revenue floor; diversified 9-stream revenue model prevents single-point failure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underinsurance (food business insurance claims rose 32.7% YoY in 2025 per FLIP data)</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general liability insurance verified as condition of every license agreement before execution; hub maintains umbrella policy covering all common areas; annual insurance review built into quality gate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Funding delay (SBA approval or grant award)</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-- 15%</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Critical</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 diversified funding sources active simultaneously; SBA pre-qualification in Month 1-2; phased opening fallback plan if critical funding delayed; grant applications prioritized for Q1 2026 before buildout begins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burnout during pre-opening intensity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General Manager hired Month 3 with full daily operations authority; clear role separation maintained; permanent vendor mentorship network reduces founder oversight burden; board of advisors engaged from Month 1</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Competition from new food hall entrant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-- 5% within 3 years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w:t>
            </w:r>
          </w:p>
        </w:tc>
        <w:tc>
          <w:tcPr>
            <w:tcW w:type="dxa" w:w="4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First-mover advantage in Las Cruces; Hub's Las Cruces-native cultural framing and established vendor relationships create durable differentiation; incubator mission and grant relationships create institutional protection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Weather or seasonal disruption</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4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Completely eliminated: indoor, climate-controlled, 365-day operation with no weather dependency whatsoever</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14. Leadership and Team</w:t>
      </w:r>
    </w:p>
    <w:p>
      <w:pPr>
        <w:pStyle w:val="Heading2"/>
        <w:spacing w:before="320" w:after="100"/>
      </w:pPr>
      <w:r>
        <w:rPr>
          <w:rFonts w:ascii="Arial" w:cs="Arial" w:eastAsia="Arial" w:hAnsi="Arial"/>
          <w:b/>
          <w:bCs/>
          <w:color w:val="2563A8"/>
          <w:sz w:val="28"/>
          <w:szCs w:val="28"/>
        </w:rPr>
        <w:t xml:space="preserve">14.1 Core Leadership Team</w:t>
      </w:r>
    </w:p>
    <w:p>
      <w:pPr>
        <w:pBdr>
          <w:top w:val="single" w:color="B0C8E8" w:sz="4" w:space="4"/>
          <w:bottom w:val="single" w:color="B0C8E8" w:sz="4" w:space="4"/>
          <w:left w:val="thick" w:color="1B3A5C" w:sz="24" w:space="8"/>
        </w:pBdr>
        <w:shd w:fill="E8EFF7" w:val="clear"/>
        <w:spacing w:before="80" w:after="80"/>
      </w:pPr>
      <w:r>
        <w:rPr>
          <w:b/>
          <w:sz w:val="21"/>
          <w:szCs w:val="21"/>
          <w:color w:val="1B3A5C"/>
        </w:rPr>
        <w:t xml:space="preserve">Direct Hub FTE Summary: </w:t>
      </w:r>
      <w:r>
        <w:rPr>
          <w:sz w:val="21"/>
          <w:szCs w:val="21"/>
        </w:rPr>
        <w:t xml:space="preserve">The Hub directly employs 15.5 FTE in Year 1: 5 full-time salaried positions (Founder/CEO, General Manager, Operations Manager, Beverage Director, FOH Supervisor) + 1 part-time Marketing Specialist (0.5 FTE / 20 hrs/week) + 10 FTE equivalent part-time operations staff. Vendor businesses employ an additional ~18–32 workers across permanent stalls, incubator stalls, and ghost kitchen bays — these are real jobs created by the Hub’s existence but employed by independent operators, not the Hub directly. Total direct jobs (Hub + vendor staff): approximately 34–48 in Year 1. Applying the BLS regional food service indirect multiplier (~1.5x), total economic employment impact is approximately 50–70 jobs. This figure is used in the executive summary and economic impact section.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500"/>
        <w:gridCol w:w="18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Role</w:t>
            </w:r>
          </w:p>
        </w:tc>
        <w:tc>
          <w:tcPr>
            <w:tcW w:type="dxa" w:w="3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Requirements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Salary</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Hire Timeline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CEO</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See Section 15 for full profile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$90,000</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 1</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General Manager</w:t>
            </w:r>
          </w:p>
        </w:tc>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years multi-unit restaurant management; full P&amp;L authority; strong staff management; daily operations independence from founder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Operations Manager</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kitchen specialist; maintenance coordination; vendor management; NMED compliance experience; permitting familiarity</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Beverage Director</w:t>
            </w:r>
          </w:p>
        </w:tc>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Craft beverage background (cider, beer, or wine); NM cidery supplier relationships; Cider Club programming management; Responsible Beverage Service certified</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$45,000</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6 -- Phase 2</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FOH Supervisor</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Front-of-house customer experience standards; shared service coordination across all vendor stalls; event operations support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9 -- Phase 3</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Marketing Specialist (Part-Time)</w:t>
            </w:r>
          </w:p>
        </w:tc>
        <w:tc>
          <w:tcPr>
            <w:tcW w:type="dxa" w:w="3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 hrs/week; Instagram, TikTok, Facebook management; bilingual English/Spanish content capability; food photography and video</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$18,000/year</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Part-Time Operations Staff (10 FTE)</w:t>
            </w:r>
          </w:p>
        </w:tc>
        <w:tc>
          <w:tcPr>
            <w:tcW w:type="dxa" w:w="3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Front-of-house support; event setup; cleaning; shared services coordination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$180,000 total</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9 -- Phase 3</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14.2 Advisory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Advisor Role</w:t>
            </w:r>
          </w:p>
        </w:tc>
        <w:tc>
          <w:tcPr>
            <w:tcW w:type="dxa" w:w="6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Contribution to the Hub</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NMSBDC Business Counselor</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 ongoing business consulting; grant application review and feedback; financial model validation; SBA loan application support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Restaurant Industry Mentor (Experienced Multi-Unit Operator)</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Operational peer mentorship; vendor vetting assistance; quality standard benchmarking; staff hiring guidance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CPA / Accountant</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Financial guidance; grant compliance reporting; tax structuring for LLC; investor reporting framework</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Attorney (Business and Licensing)</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Legal structure; license agreement drafting; vendor contract templates; NM ABC liquor license application support; compliance oversight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Cidery Industry Contact</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cidery relationship development; Beverage Director recruitment support; supplier network introductions; cider market intelligence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 Downtown Community Partner</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Las Cruces Partnership liaison; grant navigation support; city relationship management; community event co-production</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15. Founder Profile: The Person Behind the Plan</w:t>
      </w:r>
    </w:p>
    <w:p>
      <w:pPr>
        <w:spacing w:before="60" w:after="80"/>
      </w:pPr>
      <w:r>
        <w:rPr>
          <w:rFonts w:ascii="Arial" w:cs="Arial" w:eastAsia="Arial" w:hAnsi="Arial"/>
          <w:color w:val="4A5568"/>
          <w:sz w:val="24"/>
          <w:szCs w:val="24"/>
        </w:rPr>
        <w:t xml:space="preserve">Investors and grantmakers don't just fund ideas -- they fund people. The founder of the Las Cruces Culinary Innovation Hub is not a first-time dreamer hoping food halls are a good idea. This is a trained engineer, an advanced degree holder in engineering management, a proven business operator, and a genuine food lover with deep roots in the community this Hub is designed to serve.</w:t>
      </w:r>
    </w:p>
    <w:p>
      <w:pPr>
        <w:spacing w:before="80" w:after="80"/>
      </w:pPr>
      <w:r>
        <w:t xml:space="preserve"/>
      </w:r>
    </w:p>
    <w:p>
      <w:pPr>
        <w:spacing w:before="60" w:after="80"/>
      </w:pPr>
      <w:r>
        <w:rPr>
          <w:rFonts w:ascii="Arial" w:cs="Arial" w:eastAsia="Arial" w:hAnsi="Arial"/>
          <w:color w:val="1A1A1A"/>
          <w:sz w:val="22"/>
          <w:szCs w:val="22"/>
        </w:rPr>
        <w:t xml:space="preserve">What makes this combination rare and genuinely compelling is that a food hall is not fundamentally a culinary challenge -- it is a systems-engineering and management challenge wrapped inside a hospitality business. It demands process discipline, capacity planning, vendor coordination, quality control, multi-unit scheduling, regulatory compliance, and financial modeling just as much as it demands good recipes and community energy. The founder brings all of it.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15.1 Engineering Foundation -- Systems Thinking Applied to Food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Engineering Lens</w:t>
            </w:r>
          </w:p>
          <w:p>
            <w:pPr>
              <w:spacing w:before="40"/>
            </w:pPr>
            <w:r>
              <w:rPr>
                <w:rFonts w:ascii="Arial" w:cs="Arial" w:eastAsia="Arial" w:hAnsi="Arial"/>
                <w:color w:val="1A1A1A"/>
                <w:sz w:val="21"/>
                <w:szCs w:val="21"/>
              </w:rPr>
              <w:t xml:space="preserve">Most food businesses fail not because the food is bad -- they fail because the systems are broken. Inconsistent service, poor kitchen workflows, vendor conflicts, cost overruns, compliance gaps, scheduling breakdowns. A trained general engineer looks at a food hall and sees exactly what it is: a complex, multi-unit operations system requiring disciplined design to function reliably at scale. That is the founder's native professional language.</w:t>
            </w:r>
          </w:p>
        </w:tc>
      </w:tr>
    </w:tbl>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Systems Thinking: </w:t>
      </w:r>
      <w:r>
        <w:rPr>
          <w:rFonts w:ascii="Arial" w:cs="Arial" w:eastAsia="Arial" w:hAnsi="Arial"/>
          <w:color w:val="1A1A1A"/>
          <w:sz w:val="22"/>
          <w:szCs w:val="22"/>
        </w:rPr>
        <w:t xml:space="preserve">Every element of the Hub -- stall layouts, shared utilities, POS integration, NMED permitting per stall, vendor cohort scheduling, grease trap connections, HVAC capacity -- has been mapped as an interconnected system. Problems in one subsystem propagate. A general engineer designs to contain and isolate failure.</w:t>
      </w:r>
    </w:p>
    <w:p>
      <w:pPr>
        <w:pStyle w:val="ListParagraph"/>
        <w:numPr>
          <w:ilvl w:val="0"/>
          <w:numId w:val="2"/>
        </w:numPr>
        <w:spacing w:before="40" w:after="40"/>
      </w:pPr>
      <w:r>
        <w:rPr>
          <w:rFonts w:ascii="Arial" w:cs="Arial" w:eastAsia="Arial" w:hAnsi="Arial"/>
          <w:b/>
          <w:bCs/>
          <w:color w:val="1B3A5C"/>
          <w:sz w:val="22"/>
          <w:szCs w:val="22"/>
        </w:rPr>
        <w:t xml:space="preserve">Process Standardization: </w:t>
      </w:r>
      <w:r>
        <w:rPr>
          <w:rFonts w:ascii="Arial" w:cs="Arial" w:eastAsia="Arial" w:hAnsi="Arial"/>
          <w:color w:val="1A1A1A"/>
          <w:sz w:val="22"/>
          <w:szCs w:val="22"/>
        </w:rPr>
        <w:t xml:space="preserve">The Hub's quality gate protocol, monthly P&amp;L reviews, taste-testing schedules, allergen compliance checklists, and vendor onboarding sequence are all standardized processes. Not because bureaucracy is good, but because variance in execution is the primary enemy of a multi-vendor food operation.</w:t>
      </w:r>
    </w:p>
    <w:p>
      <w:pPr>
        <w:pStyle w:val="ListParagraph"/>
        <w:numPr>
          <w:ilvl w:val="0"/>
          <w:numId w:val="2"/>
        </w:numPr>
        <w:spacing w:before="40" w:after="40"/>
      </w:pPr>
      <w:r>
        <w:rPr>
          <w:rFonts w:ascii="Arial" w:cs="Arial" w:eastAsia="Arial" w:hAnsi="Arial"/>
          <w:b/>
          <w:bCs/>
          <w:color w:val="1B3A5C"/>
          <w:sz w:val="22"/>
          <w:szCs w:val="22"/>
        </w:rPr>
        <w:t xml:space="preserve">Capacity Planning: </w:t>
      </w:r>
      <w:r>
        <w:rPr>
          <w:rFonts w:ascii="Arial" w:cs="Arial" w:eastAsia="Arial" w:hAnsi="Arial"/>
          <w:color w:val="1A1A1A"/>
          <w:sz w:val="22"/>
          <w:szCs w:val="22"/>
        </w:rPr>
        <w:t xml:space="preserve">The 8,000 sq ft floor plan, stall kitchen sizing, shared utility load calculations, HVAC capacity for 60-80 covers, and parking requirements have all been evaluated against realistic demand scenarios -- not optimistic ones. Note: the Realize Las Cruces 2025 Zoning Code eliminates auto parking minimums in Urban Character Areas (which includes downtown Las Cruces). This is a material cost advantage -- surface parking construction runs $5,000-$15,000 per space. If the Hub site is in an Urban Character Area, confirm parking-minimum elimination with City Planning before committing to any parking provision in the buildout budget. Engineers plan for load, not just average use.</w:t>
      </w:r>
    </w:p>
    <w:p>
      <w:pPr>
        <w:pStyle w:val="ListParagraph"/>
        <w:numPr>
          <w:ilvl w:val="0"/>
          <w:numId w:val="2"/>
        </w:numPr>
        <w:spacing w:before="40" w:after="40"/>
      </w:pPr>
      <w:r>
        <w:rPr>
          <w:rFonts w:ascii="Arial" w:cs="Arial" w:eastAsia="Arial" w:hAnsi="Arial"/>
          <w:b/>
          <w:bCs/>
          <w:color w:val="1B3A5C"/>
          <w:sz w:val="22"/>
          <w:szCs w:val="22"/>
        </w:rPr>
        <w:t xml:space="preserve">Risk Identification and Mitigation Design: </w:t>
      </w:r>
      <w:r>
        <w:rPr>
          <w:rFonts w:ascii="Arial" w:cs="Arial" w:eastAsia="Arial" w:hAnsi="Arial"/>
          <w:color w:val="1A1A1A"/>
          <w:sz w:val="22"/>
          <w:szCs w:val="22"/>
        </w:rPr>
        <w:t xml:space="preserve">The risk management section of this plan is not a formality. It reflects genuine failure-mode analysis. The staggered cohort structure (Smallman Galley lesson), liquor license timeline buffer, insurance verification requirement, and funding source diversification are all designed risk controls.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15.2 MS Industrial Engineering -- Concentration in Engineering Management</w:t>
      </w:r>
    </w:p>
    <w:p>
      <w:pPr>
        <w:spacing w:before="60" w:after="80"/>
      </w:pPr>
      <w:r>
        <w:rPr>
          <w:rFonts w:ascii="Arial" w:cs="Arial" w:eastAsia="Arial" w:hAnsi="Arial"/>
          <w:color w:val="1A1A1A"/>
          <w:sz w:val="22"/>
          <w:szCs w:val="22"/>
        </w:rPr>
        <w:t xml:space="preserve">The founder holds a Master of Science in Industrial Engineering with a concentration in Engineering Management. Industrial engineering is the discipline of optimizing complex systems involving people, processes, materials, information, and equipment. The engineering management concentration extends that into leadership, financial management, organizational design, and strategic decision-making under uncertainty.</w:t>
      </w:r>
    </w:p>
    <w:p>
      <w:pPr>
        <w:spacing w:before="80" w:after="80"/>
      </w:pPr>
      <w:r>
        <w:t xml:space="preserve"/>
      </w:r>
    </w:p>
    <w:p>
      <w:pPr>
        <w:spacing w:before="60" w:after="80"/>
      </w:pPr>
      <w:r>
        <w:rPr>
          <w:rFonts w:ascii="Arial" w:cs="Arial" w:eastAsia="Arial" w:hAnsi="Arial"/>
          <w:color w:val="1A1A1A"/>
          <w:sz w:val="22"/>
          <w:szCs w:val="22"/>
        </w:rPr>
        <w:t xml:space="preserve">In practical terms, this academic background means: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Academic Competency</w:t>
            </w:r>
          </w:p>
        </w:tc>
        <w:tc>
          <w:tcPr>
            <w:tcW w:type="dxa" w:w="5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Direct Application to This Project</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Operations Research and Process Optimization</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stall workflow design; kitchen equipment layout for maximum throughput; service speed modeling for peak-hour lunch and dinner rushes; commissary kitchen scheduling optimization</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Engineering Economics and Financial Modeling</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Multi-year revenue and cost projections with explicit assumptions; NPV and breakeven analysis; capital stack structuring across equity, debt, and grants; grant ROI documentation for public funders</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 Management Methodology</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Phase-gated implementation roadmap with critical path identification; liquor license as the binding Month 1 constraint; milestone-based funding release structure; dependency management across 11 Phase 3 milestones</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Quality Systems and Statistical Control</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Quality gate protocol design; 4.0+ rating standard with 8-week trigger; ServSafe compliance verification; allergen management integration; variance detection in vendor sales performance</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Organizational Design and Human Factors</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Dual-track vendor model design; leadership team hierarchy with clear role separation; founder burnout mitigation through early GM hire; vendor coaching program structure and incentive design</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Supply Chain and Procurement Management</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sourcing strategy and 20-30% sourcing commitment; collective vendor purchasing model; NM cidery supplier relationship framework; commissary kitchen user scheduling and utilization</w:t>
            </w:r>
          </w:p>
        </w:tc>
      </w:tr>
    </w:tbl>
    <w:p>
      <w:pPr>
        <w:spacing w:before="80" w:after="80"/>
      </w:pPr>
      <w:r>
        <w:t xml:space="preserve"/>
      </w:r>
    </w:p>
    <w:p>
      <w:pPr>
        <w:spacing w:before="60" w:after="80"/>
      </w:pPr>
      <w:r>
        <w:rPr>
          <w:rFonts w:ascii="Arial" w:cs="Arial" w:eastAsia="Arial" w:hAnsi="Arial"/>
          <w:color w:val="1A1A1A"/>
          <w:sz w:val="22"/>
          <w:szCs w:val="22"/>
        </w:rPr>
        <w:t xml:space="preserve">A Master of Science in Industrial Engineering with an Engineering Management concentration is, in many ways, the ideal academic preparation for running a complex multi-unit food business. The degree teaches you to see systems, manage constraints, model uncertainty, lead teams, and make decisions under resource pressure -- all of which describe daily operations in a food hall.</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15.3 Engineering Management Degree -- Leadership Backed by Technical Discipline</w:t>
      </w:r>
    </w:p>
    <w:p>
      <w:pPr>
        <w:spacing w:before="60" w:after="80"/>
      </w:pPr>
      <w:r>
        <w:rPr>
          <w:rFonts w:ascii="Arial" w:cs="Arial" w:eastAsia="Arial" w:hAnsi="Arial"/>
          <w:color w:val="1A1A1A"/>
          <w:sz w:val="22"/>
          <w:szCs w:val="22"/>
        </w:rPr>
        <w:t xml:space="preserve">Engineering management bridges the analytical precision of engineering with the human dimensions of leadership: financial management, organizational behavior, strategic planning, and stakeholder communication. Graduates are trained to be effective in exactly the situation the Las Cruces Hub represents: a technically complex project with significant financial stakes, multiple stakeholders, regulatory constraints, and a team that must function reliably under pressure.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Engineering Management Competency</w:t>
            </w:r>
          </w:p>
        </w:tc>
        <w:tc>
          <w:tcPr>
            <w:tcW w:type="dxa" w:w="5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It Manifests in This Project</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Financial Management and Capital Budgeting</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blended capital stack (equity + SBA + six grant categories) was assembled using rigorous financial modeling. Conservative projections are stress-tested at 60-70% occupancy -- not built on best-case assumptions.</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Multi-Stakeholder Management</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 simultaneously serves investors, 12+ vendors, six grant agency categories, city partners (DLCP, MVEDA, Visit Las Cruces), apprenticeship partners (NMSU, DACC), and four distinct customer segments. Engineering management teaches tracking and serving all of them simultaneously.</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Strategic Planning Under Uncertainty</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four-phase roadmap with explicit contingencies (liquor license fallback, funding delay response, vendor departure protocol, revenue shortfall stress test) reflects the engineering management emphasis on planning for variance, not just the expected case.</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Technology and Systems Integration</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Unified POS selection; NMED per-stall permitting structure; multi-vendor ordering platform; hub-wide reporting dashboard; insurance verification systems -- all requiring simultaneous technical and organizational judgment.</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Cross-Functional Team Leadership</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Hub's leadership team spans restaurant management (GM), operations (Operations Manager), beverage curation (Beverage Director), customer experience (FOH Supervisor), and marketing -- a genuinely cross-functional team requiring bridging leadership.</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15.4 Proven Business Operator -- Not a First-Time Entrepreneur</w:t>
      </w:r>
    </w:p>
    <w:p>
      <w:pPr>
        <w:spacing w:before="60" w:after="80"/>
      </w:pPr>
      <w:r>
        <w:rPr>
          <w:rFonts w:ascii="Arial" w:cs="Arial" w:eastAsia="Arial" w:hAnsi="Arial"/>
          <w:color w:val="1A1A1A"/>
          <w:sz w:val="22"/>
          <w:szCs w:val="22"/>
        </w:rPr>
        <w:t xml:space="preserve">Beyond formal education, the founder is a proven multi-year business operator. This matters enormously because the most common failure mode in food and hospitality businesses is not lack of passion or capital -- it is lack of operational discipline and business management competence.</w:t>
      </w:r>
    </w:p>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Profit and Loss Management: </w:t>
      </w:r>
      <w:r>
        <w:rPr>
          <w:rFonts w:ascii="Arial" w:cs="Arial" w:eastAsia="Arial" w:hAnsi="Arial"/>
          <w:color w:val="1A1A1A"/>
          <w:sz w:val="22"/>
          <w:szCs w:val="22"/>
        </w:rPr>
        <w:t xml:space="preserve">Sustained multi-year business operations with consistent financial management, cost control, and revenue optimization. The financial projections in this plan are not guesses -- they are built by someone who has actually managed a business's P&amp;L across multiple reporting cycles.</w:t>
      </w:r>
    </w:p>
    <w:p>
      <w:pPr>
        <w:pStyle w:val="ListParagraph"/>
        <w:numPr>
          <w:ilvl w:val="0"/>
          <w:numId w:val="2"/>
        </w:numPr>
        <w:spacing w:before="40" w:after="40"/>
      </w:pPr>
      <w:r>
        <w:rPr>
          <w:rFonts w:ascii="Arial" w:cs="Arial" w:eastAsia="Arial" w:hAnsi="Arial"/>
          <w:b/>
          <w:bCs/>
          <w:color w:val="1B3A5C"/>
          <w:sz w:val="22"/>
          <w:szCs w:val="22"/>
        </w:rPr>
        <w:t xml:space="preserve">Staff Coordination and Team Leadership: </w:t>
      </w:r>
      <w:r>
        <w:rPr>
          <w:rFonts w:ascii="Arial" w:cs="Arial" w:eastAsia="Arial" w:hAnsi="Arial"/>
          <w:color w:val="1A1A1A"/>
          <w:sz w:val="22"/>
          <w:szCs w:val="22"/>
        </w:rPr>
        <w:t xml:space="preserve">Experience building and managing teams, setting performance expectations, and maintaining operational standards under real-world conditions -- not just academic preparation.</w:t>
      </w:r>
    </w:p>
    <w:p>
      <w:pPr>
        <w:pStyle w:val="ListParagraph"/>
        <w:numPr>
          <w:ilvl w:val="0"/>
          <w:numId w:val="2"/>
        </w:numPr>
        <w:spacing w:before="40" w:after="40"/>
      </w:pPr>
      <w:r>
        <w:rPr>
          <w:rFonts w:ascii="Arial" w:cs="Arial" w:eastAsia="Arial" w:hAnsi="Arial"/>
          <w:b/>
          <w:bCs/>
          <w:color w:val="1B3A5C"/>
          <w:sz w:val="22"/>
          <w:szCs w:val="22"/>
        </w:rPr>
        <w:t xml:space="preserve">Supplier and Vendor Relationships: </w:t>
      </w:r>
      <w:r>
        <w:rPr>
          <w:rFonts w:ascii="Arial" w:cs="Arial" w:eastAsia="Arial" w:hAnsi="Arial"/>
          <w:color w:val="1A1A1A"/>
          <w:sz w:val="22"/>
          <w:szCs w:val="22"/>
        </w:rPr>
        <w:t xml:space="preserve">Negotiating and managing supplier relationships, quality standards, and contract terms in an operational context translates directly to vendor management at the Hub level across 12+ independent operators.</w:t>
      </w:r>
    </w:p>
    <w:p>
      <w:pPr>
        <w:pStyle w:val="ListParagraph"/>
        <w:numPr>
          <w:ilvl w:val="0"/>
          <w:numId w:val="2"/>
        </w:numPr>
        <w:spacing w:before="40" w:after="40"/>
      </w:pPr>
      <w:r>
        <w:rPr>
          <w:rFonts w:ascii="Arial" w:cs="Arial" w:eastAsia="Arial" w:hAnsi="Arial"/>
          <w:b/>
          <w:bCs/>
          <w:color w:val="1B3A5C"/>
          <w:sz w:val="22"/>
          <w:szCs w:val="22"/>
        </w:rPr>
        <w:t xml:space="preserve">Customer Experience Ownership: </w:t>
      </w:r>
      <w:r>
        <w:rPr>
          <w:rFonts w:ascii="Arial" w:cs="Arial" w:eastAsia="Arial" w:hAnsi="Arial"/>
          <w:color w:val="1A1A1A"/>
          <w:sz w:val="22"/>
          <w:szCs w:val="22"/>
        </w:rPr>
        <w:t xml:space="preserve">Understanding that customer satisfaction is not an abstract goal but a measurable operational outcome requiring active daily management -- exactly the mindset behind the Hub's quality gate protocol and weekly spot-check tasting program.</w:t>
      </w:r>
    </w:p>
    <w:p>
      <w:pPr>
        <w:pStyle w:val="ListParagraph"/>
        <w:numPr>
          <w:ilvl w:val="0"/>
          <w:numId w:val="2"/>
        </w:numPr>
        <w:spacing w:before="40" w:after="40"/>
      </w:pPr>
      <w:r>
        <w:rPr>
          <w:rFonts w:ascii="Arial" w:cs="Arial" w:eastAsia="Arial" w:hAnsi="Arial"/>
          <w:b/>
          <w:bCs/>
          <w:color w:val="1B3A5C"/>
          <w:sz w:val="22"/>
          <w:szCs w:val="22"/>
        </w:rPr>
        <w:t xml:space="preserve">Regulatory Compliance Navigation: </w:t>
      </w:r>
      <w:r>
        <w:rPr>
          <w:rFonts w:ascii="Arial" w:cs="Arial" w:eastAsia="Arial" w:hAnsi="Arial"/>
          <w:color w:val="1A1A1A"/>
          <w:sz w:val="22"/>
          <w:szCs w:val="22"/>
        </w:rPr>
        <w:t xml:space="preserve">Comfort with permit requirements, government agency relationships, and compliance frameworks -- experience that now extends to NM ABC liquor licensing, NMED food establishment permitting, and city building compliance across 10 simultaneous permits.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15.5 Regulatory and Compliance Competency</w:t>
      </w:r>
    </w:p>
    <w:p>
      <w:pPr>
        <w:spacing w:before="60" w:after="80"/>
      </w:pPr>
      <w:r>
        <w:rPr>
          <w:rFonts w:ascii="Arial" w:cs="Arial" w:eastAsia="Arial" w:hAnsi="Arial"/>
          <w:color w:val="1A1A1A"/>
          <w:sz w:val="22"/>
          <w:szCs w:val="22"/>
        </w:rPr>
        <w:t xml:space="preserve">The founder brings strong regulatory and compliance competency developed through professional engineering practice and business operations. This background is directly relevant to navigating the multi-agency permit environment this project requires.</w:t>
      </w:r>
    </w:p>
    <w:p>
      <w:pPr>
        <w:spacing w:before="80" w:after="80"/>
      </w:pPr>
      <w:r>
        <w:t xml:space="preserve"/>
      </w:r>
    </w:p>
    <w:p>
      <w:pPr>
        <w:spacing w:before="60" w:after="80"/>
      </w:pPr>
      <w:r>
        <w:rPr>
          <w:rFonts w:ascii="Arial" w:cs="Arial" w:eastAsia="Arial" w:hAnsi="Arial"/>
          <w:color w:val="1A1A1A"/>
          <w:sz w:val="22"/>
          <w:szCs w:val="22"/>
        </w:rPr>
        <w:t xml:space="preserve">For a project actively pursuing grant funding from NMFA, HFFF, EPE Economic Development, NM Workforce Solutions, USDA Rural Development, and DLCP, comfort with regulatory environments, documentation standards, and agency requirements is a genuine operational advantage.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Regulatory and Compliance Experience</w:t>
            </w:r>
          </w:p>
        </w:tc>
        <w:tc>
          <w:tcPr>
            <w:tcW w:type="dxa" w:w="5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Grant and Compliance Application</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Multi-permit project management</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Experience managing projects with multiple simultaneous regulatory requirements -- directly applicable to the 10+ permits and 6 grant categories this project pursues</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Compliance documentation and reporting</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Ability to produce the detailed schedules, cost breakdowns, and technical specifications that grant agencies and lenders require -- not just a narrative business plan</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Stakeholder and agency relationship management</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Understanding how to build productive working relationships with city, state, and federal program officers -- the human dimension of grant success that goes beyond paperwork</w:t>
            </w:r>
          </w:p>
        </w:tc>
      </w:tr>
      <w:tr>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High-accountability operational environment</w:t>
            </w:r>
          </w:p>
        </w:tc>
        <w:tc>
          <w:tcPr>
            <w:tcW w:type="dxa" w:w="5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Engineering and business operations demand accountability, defensible documentation, and disciplined decision-making -- exactly the mindset a 12+ vendor food hall requires</w:t>
            </w:r>
          </w:p>
        </w:tc>
      </w:tr>
      <w:tr>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Complex project management under constraints</w:t>
            </w:r>
          </w:p>
        </w:tc>
        <w:tc>
          <w:tcPr>
            <w:tcW w:type="dxa" w:w="5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Training and experience managing technically complex projects with fixed timelines, budget constraints, and multiple interdependent workstreams -- directly applicable to the 10-month Phase 1-3 buildout plan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15.6 The Food Passion -- Why This Is Personal, Not Just Professional</w:t>
      </w:r>
    </w:p>
    <w:p>
      <w:pPr>
        <w:spacing w:before="60" w:after="80"/>
      </w:pPr>
      <w:r>
        <w:rPr>
          <w:rFonts w:ascii="Arial" w:cs="Arial" w:eastAsia="Arial" w:hAnsi="Arial"/>
          <w:color w:val="1A1A1A"/>
          <w:sz w:val="22"/>
          <w:szCs w:val="22"/>
        </w:rPr>
        <w:t xml:space="preserve">A business plan built entirely on engineering credentials would be unconvincing in a food and hospitality context. The equally important truth about the founder is a deep, long-standing, genuine love of food -- of cooking, of eating, of the cultural stories that live in dishes, and of the community that forms around a shared meal.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Personal Investment</w:t>
            </w:r>
          </w:p>
          <w:p>
            <w:pPr>
              <w:spacing w:before="40"/>
            </w:pPr>
            <w:r>
              <w:rPr>
                <w:rFonts w:ascii="Arial" w:cs="Arial" w:eastAsia="Arial" w:hAnsi="Arial"/>
                <w:color w:val="1A1A1A"/>
                <w:sz w:val="21"/>
                <w:szCs w:val="21"/>
              </w:rPr>
              <w:t xml:space="preserve">The founder does not just understand food intellectually -- this is someone who spends weekends at the smoker, who has developed real craft in meat preparation and flavor development, who moves through Las Cruces and southern New Mexico experiencing the food landscape with genuine curiosity and personal passion. The 'honestly curated' promise at the heart of the Hub's brand is not a marketing slogan. It is a personal commitment backed by real food knowledge and genuine taste.</w:t>
            </w:r>
          </w:p>
        </w:tc>
      </w:tr>
    </w:tbl>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Smoking and Grilling Expertise: </w:t>
      </w:r>
      <w:r>
        <w:rPr>
          <w:rFonts w:ascii="Arial" w:cs="Arial" w:eastAsia="Arial" w:hAnsi="Arial"/>
          <w:color w:val="1A1A1A"/>
          <w:sz w:val="22"/>
          <w:szCs w:val="22"/>
        </w:rPr>
        <w:t xml:space="preserve">Years of hands-on experience with smoked and grilled meat preparation -- developing palate through technique, understanding flavor development from wood to plate, building the food credibility that makes vendor taste-testing meaningful rather than performative. This is the founder's culinary native language and the inspiration behind pursuing Southern BBQ as a priority permanent anchor stall.</w:t>
      </w:r>
    </w:p>
    <w:p>
      <w:pPr>
        <w:pStyle w:val="ListParagraph"/>
        <w:numPr>
          <w:ilvl w:val="0"/>
          <w:numId w:val="2"/>
        </w:numPr>
        <w:spacing w:before="40" w:after="40"/>
      </w:pPr>
      <w:r>
        <w:rPr>
          <w:rFonts w:ascii="Arial" w:cs="Arial" w:eastAsia="Arial" w:hAnsi="Arial"/>
          <w:b/>
          <w:bCs/>
          <w:color w:val="1B3A5C"/>
          <w:sz w:val="22"/>
          <w:szCs w:val="22"/>
        </w:rPr>
        <w:t xml:space="preserve">Diversified Food Curiosity: </w:t>
      </w:r>
      <w:r>
        <w:rPr>
          <w:rFonts w:ascii="Arial" w:cs="Arial" w:eastAsia="Arial" w:hAnsi="Arial"/>
          <w:color w:val="1A1A1A"/>
          <w:sz w:val="22"/>
          <w:szCs w:val="22"/>
        </w:rPr>
        <w:t xml:space="preserve">A genuine interest in global cuisines, regional cooking traditions, flavor pairing, and culinary innovation. This is what enables the Hub's curation to be authentic: the founder knows what distinguishes excellent global cuisine, what distinguishes excellent New Mexican cuisine, what makes a Spanish Basque cider pairing with Mediterranean mezze work, and what a perfectly smoked brisket demands.</w:t>
      </w:r>
    </w:p>
    <w:p>
      <w:pPr>
        <w:pStyle w:val="ListParagraph"/>
        <w:numPr>
          <w:ilvl w:val="0"/>
          <w:numId w:val="2"/>
        </w:numPr>
        <w:spacing w:before="40" w:after="40"/>
      </w:pPr>
      <w:r>
        <w:rPr>
          <w:rFonts w:ascii="Arial" w:cs="Arial" w:eastAsia="Arial" w:hAnsi="Arial"/>
          <w:b/>
          <w:bCs/>
          <w:color w:val="1B3A5C"/>
          <w:sz w:val="22"/>
          <w:szCs w:val="22"/>
        </w:rPr>
        <w:t xml:space="preserve">Las Cruces Culinary Culture Connection: </w:t>
      </w:r>
      <w:r>
        <w:rPr>
          <w:rFonts w:ascii="Arial" w:cs="Arial" w:eastAsia="Arial" w:hAnsi="Arial"/>
          <w:color w:val="1A1A1A"/>
          <w:sz w:val="22"/>
          <w:szCs w:val="22"/>
        </w:rPr>
        <w:t xml:space="preserve">Deep familiarity with Las Cruces's specific dining landscape -- the family restaurants, the taco trucks, the chile culture, the community gatherings that form around food. This cultural fluency is what ensures the Hub won't feel like a transplant from Austin or Denver. It will feel like it grew out of Las Cruces because it was designed from inside it.</w:t>
      </w:r>
    </w:p>
    <w:p>
      <w:pPr>
        <w:pStyle w:val="ListParagraph"/>
        <w:numPr>
          <w:ilvl w:val="0"/>
          <w:numId w:val="2"/>
        </w:numPr>
        <w:spacing w:before="40" w:after="40"/>
      </w:pPr>
      <w:r>
        <w:rPr>
          <w:rFonts w:ascii="Arial" w:cs="Arial" w:eastAsia="Arial" w:hAnsi="Arial"/>
          <w:b/>
          <w:bCs/>
          <w:color w:val="1B3A5C"/>
          <w:sz w:val="22"/>
          <w:szCs w:val="22"/>
        </w:rPr>
        <w:t xml:space="preserve">Community Pride and Ownership: </w:t>
      </w:r>
      <w:r>
        <w:rPr>
          <w:rFonts w:ascii="Arial" w:cs="Arial" w:eastAsia="Arial" w:hAnsi="Arial"/>
          <w:color w:val="1A1A1A"/>
          <w:sz w:val="22"/>
          <w:szCs w:val="22"/>
        </w:rPr>
        <w:t xml:space="preserve">The founder is building this in Las Cruces because Las Cruces deserves it. This is not a business concept that could be dropped interchangeably into any mid-sized city. It is designed for this specific market, this specific culture, this specific community's food identity -- and that intentionality is visible throughout every section of this plan.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15.7 The Rare Combination -- Why It Matters to Investors and Grantmakers</w:t>
      </w:r>
    </w:p>
    <w:p>
      <w:pPr>
        <w:spacing w:before="60" w:after="80"/>
      </w:pPr>
      <w:r>
        <w:rPr>
          <w:rFonts w:ascii="Arial" w:cs="Arial" w:eastAsia="Arial" w:hAnsi="Arial"/>
          <w:color w:val="1A1A1A"/>
          <w:sz w:val="22"/>
          <w:szCs w:val="22"/>
        </w:rPr>
        <w:t xml:space="preserve">The Las Cruces Culinary Innovation Hub requires a founder who can simultaneously accomplish six things that are rarely found in one person:</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Design and manage complex multi-unit operational systems -- general engineering and industrial engineering training</w:t>
      </w:r>
    </w:p>
    <w:p>
      <w:pPr>
        <w:pStyle w:val="ListParagraph"/>
        <w:numPr>
          <w:ilvl w:val="0"/>
          <w:numId w:val="2"/>
        </w:numPr>
        <w:spacing w:before="40" w:after="40"/>
      </w:pPr>
      <w:r>
        <w:rPr>
          <w:rFonts w:ascii="Arial" w:cs="Arial" w:eastAsia="Arial" w:hAnsi="Arial"/>
          <w:color w:val="1A1A1A"/>
          <w:sz w:val="22"/>
          <w:szCs w:val="22"/>
        </w:rPr>
        <w:t xml:space="preserve">Lead a diverse cross-functional team across technical and non-technical disciplines -- engineering management degree</w:t>
      </w:r>
    </w:p>
    <w:p>
      <w:pPr>
        <w:pStyle w:val="ListParagraph"/>
        <w:numPr>
          <w:ilvl w:val="0"/>
          <w:numId w:val="2"/>
        </w:numPr>
        <w:spacing w:before="40" w:after="40"/>
      </w:pPr>
      <w:r>
        <w:rPr>
          <w:rFonts w:ascii="Arial" w:cs="Arial" w:eastAsia="Arial" w:hAnsi="Arial"/>
          <w:color w:val="1A1A1A"/>
          <w:sz w:val="22"/>
          <w:szCs w:val="22"/>
        </w:rPr>
        <w:t xml:space="preserve">Navigate government funding, compliance, and regulatory environments with competence -- engineering training and professional business operations experience</w:t>
      </w:r>
    </w:p>
    <w:p>
      <w:pPr>
        <w:pStyle w:val="ListParagraph"/>
        <w:numPr>
          <w:ilvl w:val="0"/>
          <w:numId w:val="2"/>
        </w:numPr>
        <w:spacing w:before="40" w:after="40"/>
      </w:pPr>
      <w:r>
        <w:rPr>
          <w:rFonts w:ascii="Arial" w:cs="Arial" w:eastAsia="Arial" w:hAnsi="Arial"/>
          <w:color w:val="1A1A1A"/>
          <w:sz w:val="22"/>
          <w:szCs w:val="22"/>
        </w:rPr>
        <w:t xml:space="preserve">Manage a real business's P&amp;L with discipline and documented foresight -- proven multi-year business operator</w:t>
      </w:r>
    </w:p>
    <w:p>
      <w:pPr>
        <w:pStyle w:val="ListParagraph"/>
        <w:numPr>
          <w:ilvl w:val="0"/>
          <w:numId w:val="2"/>
        </w:numPr>
        <w:spacing w:before="40" w:after="40"/>
      </w:pPr>
      <w:r>
        <w:rPr>
          <w:rFonts w:ascii="Arial" w:cs="Arial" w:eastAsia="Arial" w:hAnsi="Arial"/>
          <w:color w:val="1A1A1A"/>
          <w:sz w:val="22"/>
          <w:szCs w:val="22"/>
        </w:rPr>
        <w:t xml:space="preserve">Curate food and beverage quality with genuine personal credibility and palate -- deep food passion, smoking and grilling expertise, diverse culinary knowledge</w:t>
      </w:r>
    </w:p>
    <w:p>
      <w:pPr>
        <w:pStyle w:val="ListParagraph"/>
        <w:numPr>
          <w:ilvl w:val="0"/>
          <w:numId w:val="2"/>
        </w:numPr>
        <w:spacing w:before="40" w:after="40"/>
      </w:pPr>
      <w:r>
        <w:rPr>
          <w:rFonts w:ascii="Arial" w:cs="Arial" w:eastAsia="Arial" w:hAnsi="Arial"/>
          <w:color w:val="1A1A1A"/>
          <w:sz w:val="22"/>
          <w:szCs w:val="22"/>
        </w:rPr>
        <w:t xml:space="preserve">Connect authentically with the Las Cruces community and its specific culinary and cultural identity -- local roots, genuine cultural fluency, building for this community specifically</w:t>
      </w:r>
    </w:p>
    <w:p>
      <w:pPr>
        <w:spacing w:before="80" w:after="80"/>
      </w:pPr>
      <w:r>
        <w:t xml:space="preserve"/>
      </w:r>
    </w:p>
    <w:p>
      <w:pPr>
        <w:spacing w:before="60" w:after="80"/>
      </w:pPr>
      <w:r>
        <w:rPr>
          <w:rFonts w:ascii="Arial" w:cs="Arial" w:eastAsia="Arial" w:hAnsi="Arial"/>
          <w:color w:val="1A1A1A"/>
          <w:sz w:val="22"/>
          <w:szCs w:val="22"/>
        </w:rPr>
        <w:t xml:space="preserve">Most food hall and incubator projects are led either by hospitality veterans who lack the operational systems discipline, or by business operators who lack the food credibility. The founder of the Las Cruces Culinary Innovation Hub has both -- backed by formal engineering and management training, a federal government career, a real business operation track record, and a genuine love of the food and the community this Hub is designed to serve.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For Investors and Grantmakers</w:t>
            </w:r>
          </w:p>
          <w:p>
            <w:pPr>
              <w:spacing w:before="40"/>
            </w:pPr>
            <w:r>
              <w:rPr>
                <w:rFonts w:ascii="Arial" w:cs="Arial" w:eastAsia="Arial" w:hAnsi="Arial"/>
                <w:color w:val="1A1A1A"/>
                <w:sz w:val="21"/>
                <w:szCs w:val="21"/>
              </w:rPr>
              <w:t xml:space="preserve">This is not a passion project seeking validation. This is a disciplined, systems-designed, research-validated economic development platform built by someone with the formal training, operational experience, regulatory familiarity, and personal food investment to execute it at the highest level. The engineering background ensures the plan is realistic and the systems are sound. The food passion ensures the curation is authentic and the community connection is real. Together, they make this venture both operationally credible on paper and emotionally credible in Las Cruces.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15.8 Founder Credentials at a Glance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Education (Undergraduate)</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Bachelor of Science in General Engineering</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Education (Graduate)</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Master of Science, Industrial Engineering -- Concentration in Engineering Management</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Engineering Management Training</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Financial management; multi-stakeholder leadership; strategic planning under uncertainty; organizational design; technology systems integration</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Regulatory and Compliance Background</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Engineering professional with experience navigating complex regulatory environments, permit requirements, and multi-agency compliance -- directly applicable to this project</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Business Operations Track Record</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Proven multi-year business operator: P&amp;L management; staff leadership; customer satisfaction systems; supplier relationship management; regulatory compliance</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Food Expertise and Passion</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Smoking and grilling specialist; diversified global palate; deep Las Cruces culinary culture fluency; personal taste-testing of every Hub vendor's signature menu</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Community Connection</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Built for Las Cruces specifically -- not a transplanted concept; genuine cultural fluency in NM and borderland food traditions; community pride as a founding design principle</w:t>
            </w:r>
          </w:p>
        </w:tc>
      </w:tr>
    </w:tbl>
    <w:p>
      <w:pPr>
        <w:spacing w:before="8" w:after="8"/>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1"/>
                <w:szCs w:val="21"/>
              </w:rPr>
              <w:t xml:space="preserve">Personal Financial Commitment</w:t>
            </w:r>
          </w:p>
        </w:tc>
        <w:tc>
          <w:tcPr>
            <w:tcW w:type="dxa" w:w="6560"/>
            <w:tcBorders>
              <w:top w:val="single" w:color="B0C8E8" w:sz="1"/>
              <w:left w:val="single" w:color="B0C8E8" w:sz="1"/>
              <w:bottom w:val="single" w:color="B0C8E8" w:sz="1"/>
              <w:right w:val="single" w:color="B0C8E8" w:sz="1"/>
            </w:tcBorders>
            <w:shd w:fill="EEF4FB" w:val="clear"/>
            <w:tcMar>
              <w:top w:type="dxa" w:w="90"/>
              <w:left w:type="dxa" w:w="130"/>
              <w:bottom w:type="dxa" w:w="90"/>
              <w:right w:type="dxa" w:w="130"/>
            </w:tcMar>
          </w:tcPr>
          <w:p>
            <w:r>
              <w:rPr>
                <w:rFonts w:ascii="Arial" w:cs="Arial" w:eastAsia="Arial" w:hAnsi="Arial"/>
                <w:color w:val="1A1A1A"/>
                <w:sz w:val="21"/>
                <w:szCs w:val="21"/>
              </w:rPr>
              <w:t xml:space="preserve">Founder equity commitment to be confirmed; aligned incentives with investors and grant partners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16. The Investment Case -- Summary</w:t>
      </w:r>
    </w:p>
    <w:p>
      <w:pPr>
        <w:spacing w:before="60" w:after="80"/>
      </w:pPr>
      <w:r>
        <w:rPr>
          <w:rFonts w:ascii="Arial" w:cs="Arial" w:eastAsia="Arial" w:hAnsi="Arial"/>
          <w:color w:val="4A5568"/>
          <w:sz w:val="24"/>
          <w:szCs w:val="24"/>
        </w:rPr>
        <w:t xml:space="preserve">Las Cruces is ready for this. The research confirms it. The demand is documented and frustrated: residents are already driving 45 minutes to find what the Hub will offer locally. The market gaps are documented. The city support programs are active and funded. The model is nationally proven. The licensing path is mapped. The financial projections are conservative and stress-tested. The team structure is defined. And the person leading it has the rare combination of engineering discipline, management training, federal regulatory experience, business operation track record, and genuine food passion to execute it well.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The Research-Validated Advantage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Zero food halls, zero cider bars, zero culinary incubators in Las Cruces -- documented, growing gaps in a 300,000–350,000+ regional draw with no comparable competition within 45 minutes (Doña Ana County 219,561; Las Cruces ~115,000 city; 2.5M annual out-of-market visitors)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Model</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Permanent-majority structure protects investor returns; incubator adds six grant categories and community impact story; staggered cohorts eliminate Smallman Galley-style simultaneous departure risk</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Infrastructure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Dedicated private kitchen per stall -- operationally sound, NMED-compliant, the feature that makes vendors stay, succeed, produce quality food, and refer other operators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competing cider destinations in southern NM; Cider Club subscriptions validated nationally; 400+ years of NM apple-growing heritage provides authentic local narrative and producer pipeline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Alignment</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leads with tacos, burritos, caldos, and NM classics before layering on discovery -- designed for Las Cruces, not imported into it; the central strategic decision that makes this sustainable long-term</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Support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matching grant, TIDD infrastructure funding, MVEDA EPE grants ($100K precedent), Visit Las Cruces tourism co-marketing -- all active, funded, and accessible</w:t>
            </w:r>
          </w:p>
        </w:tc>
      </w:tr>
      <w:tr>
        <w:tc>
          <w:tcPr>
            <w:tcW w:type="dxa" w:w="2040"/>
            <w:tcBorders>
              <w:top w:val="single" w:color="B0C8E8" w:sz="1"/>
              <w:left w:val="single" w:color="B0C8E8" w:sz="1"/>
              <w:bottom w:val="single" w:color="B0C8E8" w:sz="1"/>
              <w:right w:val="single" w:color="B0C8E8" w:sz="1"/>
            </w:tcBorders>
          </w:tcPr>
          <w:p>
            <w:pPr>
              <w:spacing w:before="60" w:after="60"/>
            </w:pPr>
            <w:r>
              <w:rPr>
                <w:b/>
                <w:sz w:val="20"/>
                <w:szCs w:val="20"/>
              </w:rPr>
              <w:t>Opportunity Zone</w:t>
            </w:r>
          </w:p>
        </w:tc>
        <w:tc>
          <w:tcPr>
            <w:tcW w:type="dxa" w:w="6560"/>
            <w:tcBorders>
              <w:top w:val="single" w:color="B0C8E8" w:sz="1"/>
              <w:left w:val="single" w:color="B0C8E8" w:sz="1"/>
              <w:bottom w:val="single" w:color="B0C8E8" w:sz="1"/>
              <w:right w:val="single" w:color="B0C8E8" w:sz="1"/>
            </w:tcBorders>
          </w:tcPr>
          <w:p>
            <w:pPr>
              <w:spacing w:before="60" w:after="60"/>
            </w:pPr>
            <w:r>
              <w:rPr>
                <w:sz w:val="20"/>
                <w:szCs w:val="20"/>
              </w:rPr>
              <w:t>Downtown Las Cruces is a federally designated Opportunity Zone. Investors with existing capital gains can defer and reduce their tax liability by investing through a Qualified Opportunity Fund (QOF). A 10-year hold on QOF interest yields permanent exclusion on appreciation — a meaningful return enhancement beyond the Hub’s base ROI. The 12/31/2026 federal deadline aligns with the Hub’s Grand Opening window, making this a time-sensitive investor advantage. See Supplement N for detail on OZ census tract confirmation steps.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Stack</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Six distinct grant categories qualify simultaneously -- unusually strong non-dilutive capital position that meaningfully de-risks investor exposure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Financial Model</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Conservative: EBITDA-positive at 70% occupancy; stress-tested at 60%; 85% ROI at 3 years; diversified 9-stream revenue model with no single point of failure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BS General Engineering + MS Industrial Engineering (Engineering Management) + Proven multi-year business operator + Regulatory and compliance competency + Authentic food expertise = the rare combination this project demands and this community deserves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Contact</w:t>
            </w:r>
          </w:p>
        </w:tc>
        <w:tc>
          <w:tcPr>
            <w:tcW w:type="dxa" w:w="6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CEO</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Name]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Email</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[Email Address]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Phone</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[Phone Number]</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Website</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[Website URL]</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Prepared</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April 2026  |  Version 12.0 -- Complete Edition</w:t>
            </w:r>
          </w:p>
        </w:tc>
      </w:tr>
    </w:tbl>
    <w:p>
      <w:r>
        <w:br w:type="page"/>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SECTION 17: West Picacho &amp; Motel Boulevard Metropolitan Redevelopment Area (MRA) -- Strategic Site Opportunity</w:t>
      </w:r>
    </w:p>
    <w:p>
      <w:pPr>
        <w:pStyle w:val="Heading2"/>
      </w:pPr>
      <w:r>
        <w:t>17.0 Site Decision Scorecard</w:t>
      </w:r>
    </w:p>
    <w:p>
      <w:r>
        <w:t>Final site selection should be made through a scorecard rather than preference alone. The Hub should compare downtown Las Cruces, West Picacho MRA, El Paseo/Solano MRA, and any other viable parcel by rent or acquisition cost, incentive value, visibility, traffic, parking, phasing flexibility, zoning path, grant alignment, buildout risk, tourism access, and neighborhood impact.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Criterion</w:t>
            </w:r>
          </w:p>
        </w:tc>
        <w:tc>
          <w:tcPr>
            <w:tcW w:type="dxa" w:w="1872"/>
          </w:tcPr>
          <w:p>
            <w:r>
              <w:rPr>
                <w:b/>
              </w:rPr>
              <w:t>Downtown</w:t>
            </w:r>
          </w:p>
        </w:tc>
        <w:tc>
          <w:tcPr>
            <w:tcW w:type="dxa" w:w="1872"/>
          </w:tcPr>
          <w:p>
            <w:r>
              <w:rPr>
                <w:b/>
              </w:rPr>
              <w:t>West Picacho MRA</w:t>
            </w:r>
          </w:p>
        </w:tc>
        <w:tc>
          <w:tcPr>
            <w:tcW w:type="dxa" w:w="1872"/>
          </w:tcPr>
          <w:p>
            <w:r>
              <w:rPr>
                <w:b/>
              </w:rPr>
              <w:t>El Paseo/Solano MRA</w:t>
            </w:r>
          </w:p>
        </w:tc>
        <w:tc>
          <w:tcPr>
            <w:tcW w:type="dxa" w:w="1872"/>
          </w:tcPr>
          <w:p>
            <w:r>
              <w:rPr>
                <w:b/>
              </w:rPr>
              <w:t>Other Site</w:t>
            </w:r>
          </w:p>
        </w:tc>
      </w:tr>
      <w:tr>
        <w:tc>
          <w:tcPr>
            <w:tcW w:type="dxa" w:w="1872"/>
          </w:tcPr>
          <w:p>
            <w:r>
              <w:t>Rent/acquisition cost</w:t>
            </w:r>
          </w:p>
        </w:tc>
        <w:tc>
          <w:tcPr>
            <w:tcW w:type="dxa" w:w="1872"/>
          </w:tcPr>
          <w:p>
            <w:r>
              <w:t>High cost, strong foot traffic</w:t>
            </w:r>
          </w:p>
        </w:tc>
        <w:tc>
          <w:tcPr>
            <w:tcW w:type="dxa" w:w="1872"/>
          </w:tcPr>
          <w:p>
            <w:r>
              <w:t>Potentially lower cost, large parcels</w:t>
            </w:r>
          </w:p>
        </w:tc>
        <w:tc>
          <w:tcPr>
            <w:tcW w:type="dxa" w:w="1872"/>
          </w:tcPr>
          <w:p>
            <w:r>
              <w:t>Moderate, site-dependent</w:t>
            </w:r>
          </w:p>
        </w:tc>
        <w:tc>
          <w:tcPr>
            <w:tcW w:type="dxa" w:w="1872"/>
          </w:tcPr>
          <w:p>
            <w:r>
              <w:t>Score by verified terms</w:t>
            </w:r>
          </w:p>
        </w:tc>
      </w:tr>
      <w:tr>
        <w:tc>
          <w:tcPr>
            <w:tcW w:type="dxa" w:w="1872"/>
          </w:tcPr>
          <w:p>
            <w:r>
              <w:t>Incentives</w:t>
            </w:r>
          </w:p>
        </w:tc>
        <w:tc>
          <w:tcPr>
            <w:tcW w:type="dxa" w:w="1872"/>
          </w:tcPr>
          <w:p>
            <w:r>
              <w:t>DLCP/TIDD/OZ tools where eligible</w:t>
            </w:r>
          </w:p>
        </w:tc>
        <w:tc>
          <w:tcPr>
            <w:tcW w:type="dxa" w:w="1872"/>
          </w:tcPr>
          <w:p>
            <w:r>
              <w:t>MRA/TIDD and catalytic-site alignment</w:t>
            </w:r>
          </w:p>
        </w:tc>
        <w:tc>
          <w:tcPr>
            <w:tcW w:type="dxa" w:w="1872"/>
          </w:tcPr>
          <w:p>
            <w:r>
              <w:t>MRA safety grant and revitalization tools</w:t>
            </w:r>
          </w:p>
        </w:tc>
        <w:tc>
          <w:tcPr>
            <w:tcW w:type="dxa" w:w="1872"/>
          </w:tcPr>
          <w:p>
            <w:r>
              <w:t>Score by confirmed eligibility</w:t>
            </w:r>
          </w:p>
        </w:tc>
      </w:tr>
      <w:tr>
        <w:tc>
          <w:tcPr>
            <w:tcW w:type="dxa" w:w="1872"/>
          </w:tcPr>
          <w:p>
            <w:r>
              <w:t>Visibility/traffic</w:t>
            </w:r>
          </w:p>
        </w:tc>
        <w:tc>
          <w:tcPr>
            <w:tcW w:type="dxa" w:w="1872"/>
          </w:tcPr>
          <w:p>
            <w:r>
              <w:t>Pedestrian and tourism visibility</w:t>
            </w:r>
          </w:p>
        </w:tc>
        <w:tc>
          <w:tcPr>
            <w:tcW w:type="dxa" w:w="1872"/>
          </w:tcPr>
          <w:p>
            <w:r>
              <w:t>Vehicle traffic and Field of Dreams adjacency</w:t>
            </w:r>
          </w:p>
        </w:tc>
        <w:tc>
          <w:tcPr>
            <w:tcW w:type="dxa" w:w="1872"/>
          </w:tcPr>
          <w:p>
            <w:r>
              <w:t>Corridor visibility, site-dependent</w:t>
            </w:r>
          </w:p>
        </w:tc>
        <w:tc>
          <w:tcPr>
            <w:tcW w:type="dxa" w:w="1872"/>
          </w:tcPr>
          <w:p>
            <w:r>
              <w:t>Score by counts and access</w:t>
            </w:r>
          </w:p>
        </w:tc>
      </w:tr>
      <w:tr>
        <w:tc>
          <w:tcPr>
            <w:tcW w:type="dxa" w:w="1872"/>
          </w:tcPr>
          <w:p>
            <w:r>
              <w:t>Parking/buildout</w:t>
            </w:r>
          </w:p>
        </w:tc>
        <w:tc>
          <w:tcPr>
            <w:tcW w:type="dxa" w:w="1872"/>
          </w:tcPr>
          <w:p>
            <w:r>
              <w:t>Parking savings possible in urban context</w:t>
            </w:r>
          </w:p>
        </w:tc>
        <w:tc>
          <w:tcPr>
            <w:tcW w:type="dxa" w:w="1872"/>
          </w:tcPr>
          <w:p>
            <w:r>
              <w:t>Larger parcel flexibility</w:t>
            </w:r>
          </w:p>
        </w:tc>
        <w:tc>
          <w:tcPr>
            <w:tcW w:type="dxa" w:w="1872"/>
          </w:tcPr>
          <w:p>
            <w:r>
              <w:t>Varies by parcel</w:t>
            </w:r>
          </w:p>
        </w:tc>
        <w:tc>
          <w:tcPr>
            <w:tcW w:type="dxa" w:w="1872"/>
          </w:tcPr>
          <w:p>
            <w:r>
              <w:t>Score by code and cost</w:t>
            </w:r>
          </w:p>
        </w:tc>
      </w:tr>
      <w:tr>
        <w:tc>
          <w:tcPr>
            <w:tcW w:type="dxa" w:w="1872"/>
          </w:tcPr>
          <w:p>
            <w:r>
              <w:t>Phasing flexibility</w:t>
            </w:r>
          </w:p>
        </w:tc>
        <w:tc>
          <w:tcPr>
            <w:tcW w:type="dxa" w:w="1872"/>
          </w:tcPr>
          <w:p>
            <w:r>
              <w:t>More difficult if rent is high</w:t>
            </w:r>
          </w:p>
        </w:tc>
        <w:tc>
          <w:tcPr>
            <w:tcW w:type="dxa" w:w="1872"/>
          </w:tcPr>
          <w:p>
            <w:r>
              <w:t>Strong fit for outdoor-first phasing</w:t>
            </w:r>
          </w:p>
        </w:tc>
        <w:tc>
          <w:tcPr>
            <w:tcW w:type="dxa" w:w="1872"/>
          </w:tcPr>
          <w:p>
            <w:r>
              <w:t>Possible, site-dependent</w:t>
            </w:r>
          </w:p>
        </w:tc>
        <w:tc>
          <w:tcPr>
            <w:tcW w:type="dxa" w:w="1872"/>
          </w:tcPr>
          <w:p>
            <w:r>
              <w:t>Score by landlord/city approval</w:t>
            </w:r>
          </w:p>
        </w:tc>
      </w:tr>
      <w:tr>
        <w:tc>
          <w:tcPr>
            <w:tcW w:type="dxa" w:w="1872"/>
          </w:tcPr>
          <w:p>
            <w:r>
              <w:t>Grant alignment</w:t>
            </w:r>
          </w:p>
        </w:tc>
        <w:tc>
          <w:tcPr>
            <w:tcW w:type="dxa" w:w="1872"/>
          </w:tcPr>
          <w:p>
            <w:r>
              <w:t>Downtown revitalization and tourism</w:t>
            </w:r>
          </w:p>
        </w:tc>
        <w:tc>
          <w:tcPr>
            <w:tcW w:type="dxa" w:w="1872"/>
          </w:tcPr>
          <w:p>
            <w:r>
              <w:t>MRA revitalization, workforce, food cluster</w:t>
            </w:r>
          </w:p>
        </w:tc>
        <w:tc>
          <w:tcPr>
            <w:tcW w:type="dxa" w:w="1872"/>
          </w:tcPr>
          <w:p>
            <w:r>
              <w:t>MRA revitalization and safety</w:t>
            </w:r>
          </w:p>
        </w:tc>
        <w:tc>
          <w:tcPr>
            <w:tcW w:type="dxa" w:w="1872"/>
          </w:tcPr>
          <w:p>
            <w:r>
              <w:t>Score by funder fit</w:t>
            </w:r>
          </w:p>
        </w:tc>
      </w:tr>
    </w:tbl>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Why This Section Exists</w:t>
            </w:r>
          </w:p>
          <w:p>
            <w:pPr>
              <w:spacing w:before="40"/>
            </w:pPr>
            <w:r>
              <w:rPr>
                <w:rFonts w:ascii="Arial" w:cs="Arial" w:eastAsia="Arial" w:hAnsi="Arial"/>
                <w:color w:val="1A1A1A"/>
                <w:sz w:val="21"/>
                <w:szCs w:val="21"/>
              </w:rPr>
              <w:t xml:space="preserve">This section documents a formally designated City of Las Cruces Metropolitan Redevelopment Area that directly intersects with the Hub's site selection process, financial incentive stack, and grant application strategy. The W. Picacho and Motel Boulevard MRA was adopted December 1, 2025 and received GRT increment financing approval March 16, 2026 -- events that occurred after the initial drafting of this business plan. This section ensures investors, lenders, and grant reviewers have complete information about this opportunity and John's deliberate approach to evaluating it.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17.1 What the W. Picacho MRA Is</w:t>
      </w:r>
    </w:p>
    <w:p>
      <w:pPr>
        <w:spacing w:before="60" w:after="80"/>
      </w:pPr>
      <w:r>
        <w:rPr>
          <w:rFonts w:ascii="Arial" w:cs="Arial" w:eastAsia="Arial" w:hAnsi="Arial"/>
          <w:color w:val="1A1A1A"/>
          <w:sz w:val="22"/>
          <w:szCs w:val="22"/>
        </w:rPr>
        <w:t xml:space="preserve">A Metropolitan Redevelopment Area (MRA) is a zone formally designated by a city government under New Mexico statute where the city identifies underutilized or blighted conditions and unlocks a specific set of public investment tools to catalyze private development. The MRA designation does not mandate any particular use -- it creates the legal and financial infrastructure for the city and private developers to partner on revitalization projects that the market alone would not fund.</w:t>
      </w:r>
    </w:p>
    <w:p>
      <w:pPr>
        <w:spacing w:before="80" w:after="80"/>
      </w:pPr>
      <w:r>
        <w:t xml:space="preserve"/>
      </w:r>
    </w:p>
    <w:p>
      <w:pPr>
        <w:spacing w:before="60" w:after="80"/>
      </w:pPr>
      <w:r>
        <w:rPr>
          <w:rFonts w:ascii="Arial" w:cs="Arial" w:eastAsia="Arial" w:hAnsi="Arial"/>
          <w:color w:val="1A1A1A"/>
          <w:sz w:val="22"/>
          <w:szCs w:val="22"/>
        </w:rPr>
        <w:t xml:space="preserve">The West Picacho and Motel Boulevard MRA covers a 1.5-mile corridor bounded by Tashiro Drive and McClure Road to the north, the BNSF Railroad tracks to the east, West Hadley Avenue to the south, and the Rio Grande to the west. This corridor was chosen by the City because it contains significant commercial potential that is underperforming relative to its location -- high vehicle traffic on West Picacho Avenue (18,000-19,000 vehicles per day by traffic count), an existing commercial base, and immediate adjacency to established residential neighborhoods, but fragmented development that has not fulfilled the corridor's economic potential.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Timeline Event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Date</w:t>
            </w:r>
          </w:p>
        </w:tc>
        <w:tc>
          <w:tcPr>
            <w:tcW w:type="dxa" w:w="4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Significance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West Picacho MRA plan publicly developed with community input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2024-2025</w:t>
            </w:r>
          </w:p>
        </w:tc>
        <w:tc>
          <w:tcPr>
            <w:tcW w:type="dxa" w:w="4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engaged residents and business owners through small group meetings, pop-up events, and public hearings to shape the plan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boundary extension and plan adoption</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December 1, 2025</w:t>
            </w:r>
          </w:p>
        </w:tc>
        <w:tc>
          <w:tcPr>
            <w:tcW w:type="dxa" w:w="4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City Council unanimously adopted the W. Picacho and Motel Boulevard MRA plan and boundary -- making it fully legally operative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GRT increment financing approved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March 16, 2026</w:t>
            </w:r>
          </w:p>
        </w:tc>
        <w:tc>
          <w:tcPr>
            <w:tcW w:type="dxa" w:w="4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Council unanimously approved GRT (Gross Receipts Tax) increment financing for the MRA -- the mechanism that allows tax revenue growth generated within the MRA to be reinvested back into corridor improvements for up to 20 years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baseline established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March 16, 2026</w:t>
            </w:r>
          </w:p>
        </w:tc>
        <w:tc>
          <w:tcPr>
            <w:tcW w:type="dxa" w:w="4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Baseline set at approximately $42,000/month; any GRT revenue above this baseline generated by new or growing businesses within the MRA is eligible for 75% reinvestment back into the corridor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actively seeking catalytic private developers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April 2026 (ongoing)</w:t>
            </w:r>
          </w:p>
        </w:tc>
        <w:tc>
          <w:tcPr>
            <w:tcW w:type="dxa" w:w="4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Economic Development Coordinator Blairre Flores (575-541-2425) is the primary city contact; the Shoto mixed-use hub near Tashiro Drive is the highest-priority catalytic project site identified in the plan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17.2 The Shoto Catalytic Site -- The Hub's Specific Opportunity</w:t>
      </w:r>
    </w:p>
    <w:p>
      <w:pPr>
        <w:spacing w:before="60" w:after="80"/>
      </w:pPr>
      <w:r>
        <w:rPr>
          <w:rFonts w:ascii="Arial" w:cs="Arial" w:eastAsia="Arial" w:hAnsi="Arial"/>
          <w:color w:val="1A1A1A"/>
          <w:sz w:val="22"/>
          <w:szCs w:val="22"/>
        </w:rPr>
        <w:t xml:space="preserve">The MRA plan identifies three catalytic project sites. Catalyst Site 1: the Tashiro Mixed-Use Hub -- approximately 42 acres at the southeast corner of Tashiro and Valley Drives, private ownership -- is the site most directly relevant to the Las Cruces Culinary Innovation Hub. The MRA plan's own language (Strategy 3.4) directs the City to 'work with owner/developer to create an eatertainment district in the northwest corner of the Tashiro catalyst site' with 'both permanent and food-truck type options within walking distance of the Field of Dreams sports facility.' Strategy 3.5 further directs the City to 'investigate potential for a commercial kitchen in the eatertainment district to complement small-scale start-ups/food trucks.' The Hub is the exact operator the city is actively seeking for this site. The plan notes the city expects to provide development incentives and active recruitment support for desired uses at Tashiro.</w:t>
      </w:r>
    </w:p>
    <w:p>
      <w:pPr>
        <w:spacing w:before="80" w:after="80"/>
      </w:pPr>
      <w:r>
        <w:t xml:space="preserve"/>
      </w:r>
    </w:p>
    <w:p>
      <w:pPr>
        <w:spacing w:before="60" w:after="80"/>
      </w:pPr>
      <w:r>
        <w:rPr>
          <w:rFonts w:ascii="Arial" w:cs="Arial" w:eastAsia="Arial" w:hAnsi="Arial"/>
          <w:color w:val="1A1A1A"/>
          <w:sz w:val="22"/>
          <w:szCs w:val="22"/>
        </w:rPr>
        <w:t xml:space="preserve">For the Hub, this creates a rare opportunity: rather than leasing space in a building designed for a different purpose and adapting it to food hall use, the Hub could anchor a purpose-built mixed-use development on a city-identified catalytic site, with the city as an active partner in permitting, infrastructure, and incentive delivery. Purpose-built food halls consistently outperform adaptive reuse conversions on buildout efficiency, kitchen layout precision, and long-term operating cost.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Shoto Site Characteristic</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 for the Hub</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 acres available near Tashiro Drive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 more than the Hub's 8,000-12,000 sq ft footprint; Hub would be one anchor among several uses -- residential, retail, parking -- in a mixed-use development. Requires either a development partner for the broader site or a ground lease for the Hub's specific footprint.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City-identified as highest-priority catalytic project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staff are actively looking for exactly this type of private developer conversation. Early engagement with Blairre Flores at Economic Development gives John first-mover access to this conversation before any other food-related developer.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construction is possible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Designing from a blank canvas eliminates the most common adaptive reuse risks: asbestos in older buildings, undersized electrical service for heavy kitchen loads, non-standard plumbing requiring major rerouting. Each of the 13 kitchen stalls can be laid out optimally rather than fitted into existing space.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Parking is fully solvable</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 42-acre site accommodates the 80-120 surface parking spaces a food hall of this scale requires without shared parking arrangements, paid structures, or the 300-foot proximity constraints that downtown locations face.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Residential adjacency built into the plan</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plan includes affordable and multi-family housing components adjacent to the commercial hub. Residents of this development become regular Hub customers by default -- a built-in daily foot traffic source that downtown locations do not automatically have.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17.3 Financial Incentives Available Within the MRA</w:t>
      </w:r>
    </w:p>
    <w:p>
      <w:pPr>
        <w:spacing w:before="60" w:after="80"/>
      </w:pPr>
      <w:r>
        <w:rPr>
          <w:rFonts w:ascii="Arial" w:cs="Arial" w:eastAsia="Arial" w:hAnsi="Arial"/>
          <w:color w:val="1A1A1A"/>
          <w:sz w:val="22"/>
          <w:szCs w:val="22"/>
        </w:rPr>
        <w:t xml:space="preserve">Operating within the W. Picacho MRA boundary makes the Hub eligible for a defined stack of financial incentives that are not available to a downtown location. These incentives are grounded in New Mexico statute and established MRA implementation practice -- they are documented, not speculative.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400"/>
        <w:gridCol w:w="22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Incentive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It Works</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Estimated Value to Hub (5 Years)</w:t>
            </w:r>
          </w:p>
        </w:tc>
        <w:tc>
          <w:tcPr>
            <w:tcW w:type="dxa" w:w="2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Property tax deferral (up to 20 years)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Building rehabilitation and improvements within an MRA can qualify for property tax deferral under NM Metropolitan Redevelopment Code. For a tenant, this benefit flows through reduced rent from a landlord who receives the deferral on the improved property. For an owner-operator or ground lessee, the deferral applies directly.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$40,000-$125,000 depending on ownership structure and assessed improvement value</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in NM law; applied in other NM MRAs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Development and permit fee waivers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designation allows the City to waive or reduce development fees and building permit fees for projects aligned with MRA plan goals. The W. Picacho plan explicitly calls for pedestrian-friendly commercial spaces and culturally rich landmarks -- a food hall and culinary incubator is a direct match.</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$15,000-$40,000 (one-time at buildout); fee waiver is negotiable with City Economic Development</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negotiation; not automatic -- but city staff are actively seeking projects like the Hub</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Expedited plan review</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projects receive priority review by City Planning and Building, reducing the standard 2-4 week commercial plan review cycle. For a project with 13 separate NMED stall permit applications requiring coordination, weeks of schedule acceleration translate directly to reduced holding costs.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$15,000-$45,000 in avoided carrying costs during construction (lease payments, interest accrual on construction financing)</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Standard MRA benefit; applied consistently across Las Cruces MRAs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increment reinvestment</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 operating at $1M+ in annual food sales generates approximately $83,900/year in GRT at the Las Cruces 8.39% rate. Up to 75% of the GRT growth above the $42,000/month baseline generated within the MRA is reinvested in corridor streetscape, parking, lighting, and infrastructure improvements. These improvements directly benefit the Hub's site over time.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$20,000-$50,000/year in corridor infrastructure funded by the Hub's own GRT growth -- improving the site environment without additional Hub capital outlay</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Approved by City Council March 16, 2026; legally operative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Enhanced grant program eligibility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MVEDA lists 'Business in a Metropolitan Redevelopment Area' as an explicit qualifying category for the EPE Economic Development Fund. MRA location also strengthens NMFA, USDA LFPP, and HFFF applications by adding an equity and corridor revitalization narrative that downtown-located businesses cannot claim.</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$50,000-$150,000 in incremental grant awards due to stronger eligibility positioning across multiple programs</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Requires application; MRA location is a qualifying factor, not a guarantee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Total Incentive Package Estimate</w:t>
            </w:r>
          </w:p>
          <w:p>
            <w:pPr>
              <w:spacing w:before="40"/>
            </w:pPr>
            <w:r>
              <w:rPr>
                <w:rFonts w:ascii="Arial" w:cs="Arial" w:eastAsia="Arial" w:hAnsi="Arial"/>
                <w:color w:val="1A1A1A"/>
                <w:sz w:val="21"/>
                <w:szCs w:val="21"/>
              </w:rPr>
              <w:t xml:space="preserve">Combining property tax deferral, permit fee waivers, expedited review savings, GRT reinvestment, and enhanced grant eligibility, the W. Picacho MRA offers the Hub an estimated $140,000-$360,000 in total value over five years. This range reflects the difference between a owner-operator model — which the Hub IS pursuing, meaning the Hub captures the full deferral value directly rather than indirectly through a reduced-rent negotiation with a landlord. At the midpoint estimate of $250,000, the MRA incentive package reduces effective project cost by approximately 15-18% -- a material financial advantage.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17.4 Market Data Supporting the MRA Location</w:t>
      </w:r>
    </w:p>
    <w:p>
      <w:pPr>
        <w:spacing w:before="60" w:after="80"/>
      </w:pPr>
      <w:r>
        <w:rPr>
          <w:rFonts w:ascii="Arial" w:cs="Arial" w:eastAsia="Arial" w:hAnsi="Arial"/>
          <w:color w:val="1A1A1A"/>
          <w:sz w:val="22"/>
          <w:szCs w:val="22"/>
        </w:rPr>
        <w:t xml:space="preserve">The W. Picacho corridor is not a low-demand location. Three categories of market data confirm that the trade area supports the Hub's concept:</w:t>
      </w:r>
    </w:p>
    <w:p>
      <w:pPr>
        <w:spacing w:before="80" w:after="80"/>
      </w:pPr>
      <w:r>
        <w:t xml:space="preserve"/>
      </w:r>
    </w:p>
    <w:p>
      <w:pPr>
        <w:spacing w:before="200" w:after="80"/>
      </w:pPr>
      <w:r>
        <w:rPr>
          <w:rFonts w:ascii="Arial" w:cs="Arial" w:eastAsia="Arial" w:hAnsi="Arial"/>
          <w:b/>
          <w:bCs/>
          <w:color w:val="14746F"/>
          <w:sz w:val="24"/>
          <w:szCs w:val="24"/>
        </w:rPr>
        <w:t xml:space="preserve">Demographics: The Core Customer Is Already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Demographic Factor</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Data</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Relevance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population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~117,000 (2025); metro ~229,000</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Larger regional catchment than any single downtown ZIP code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Hispanic/Latino population</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~59-60% of the city</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Directly validates a culinary program leading with New Mexican and Mexican food traditions -- this is not a niche appeal, it is the mainstream market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Corridor household income</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Mid-$30,000s in immediate W. Picacho neighborhoods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Real price sensitivity that drives the $9-14 everyday menu design; this is the affordability constraint, not a weakness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age citywide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~33.6 years</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Young population favorable for a social dining and gathering format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Population growth trajectory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Projected 120,000-125,000 by late 2020s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AI data centers, aerospace, film, and renewable energy sectors are actively expanding in Las Cruces -- new jobs bring new customers</w:t>
            </w:r>
          </w:p>
        </w:tc>
      </w:tr>
    </w:tbl>
    <w:p>
      <w:pPr>
        <w:spacing w:before="80" w:after="80"/>
      </w:pPr>
      <w:r>
        <w:t xml:space="preserve"/>
      </w:r>
    </w:p>
    <w:p>
      <w:pPr>
        <w:spacing w:before="200" w:after="80"/>
      </w:pPr>
      <w:r>
        <w:rPr>
          <w:rFonts w:ascii="Arial" w:cs="Arial" w:eastAsia="Arial" w:hAnsi="Arial"/>
          <w:b/>
          <w:bCs/>
          <w:color w:val="14746F"/>
          <w:sz w:val="24"/>
          <w:szCs w:val="24"/>
        </w:rPr>
        <w:t xml:space="preserve">Traffic: Higher Than Most Successful Food Hall Locations</w:t>
      </w:r>
    </w:p>
    <w:p>
      <w:pPr>
        <w:spacing w:before="60" w:after="80"/>
      </w:pPr>
      <w:r>
        <w:rPr>
          <w:rFonts w:ascii="Arial" w:cs="Arial" w:eastAsia="Arial" w:hAnsi="Arial"/>
          <w:color w:val="1A1A1A"/>
          <w:sz w:val="22"/>
          <w:szCs w:val="22"/>
        </w:rPr>
        <w:t xml:space="preserve">West Picacho Avenue carries 18,000-19,000 vehicles per day through the MRA corridor, confirmed by Mesilla Valley MPO traffic count data. This is a through-traffic arterial, not a destination-only street -- it generates continuous drive-by exposure throughout the day, seven days a week. By comparison, downtown Las Cruces Main Street functions primarily as a destination corridor with lower daily vehicle throughput.</w:t>
      </w:r>
    </w:p>
    <w:p>
      <w:pPr>
        <w:spacing w:before="80" w:after="80"/>
      </w:pPr>
      <w:r>
        <w:t xml:space="preserve"/>
      </w:r>
    </w:p>
    <w:p>
      <w:pPr>
        <w:spacing w:before="60" w:after="80"/>
      </w:pPr>
      <w:r>
        <w:rPr>
          <w:rFonts w:ascii="Arial" w:cs="Arial" w:eastAsia="Arial" w:hAnsi="Arial"/>
          <w:color w:val="1A1A1A"/>
          <w:sz w:val="22"/>
          <w:szCs w:val="22"/>
        </w:rPr>
        <w:t xml:space="preserve">At 18,500 daily vehicles, even a 0.5% conversion rate (92 vehicles/day stopping) at a $20 average spend generates $672,000/year in traffic-capture revenue before a single destination visit is counted. This traffic base is self-renewing -- it does not depend on the Hub building a brand reputation before customers discover it.</w:t>
      </w:r>
    </w:p>
    <w:p>
      <w:pPr>
        <w:spacing w:before="80" w:after="80"/>
      </w:pPr>
      <w:r>
        <w:t xml:space="preserve"/>
      </w:r>
    </w:p>
    <w:p>
      <w:pPr>
        <w:spacing w:before="200" w:after="80"/>
      </w:pPr>
      <w:r>
        <w:rPr>
          <w:rFonts w:ascii="Arial" w:cs="Arial" w:eastAsia="Arial" w:hAnsi="Arial"/>
          <w:b/>
          <w:bCs/>
          <w:color w:val="14746F"/>
          <w:sz w:val="24"/>
          <w:szCs w:val="24"/>
        </w:rPr>
        <w:t xml:space="preserve">Behavioral Evidence: The Format Already Works Here</w:t>
      </w:r>
    </w:p>
    <w:p>
      <w:pPr>
        <w:spacing w:before="60" w:after="80"/>
      </w:pPr>
      <w:r>
        <w:rPr>
          <w:rFonts w:ascii="Arial" w:cs="Arial" w:eastAsia="Arial" w:hAnsi="Arial"/>
          <w:color w:val="1A1A1A"/>
          <w:sz w:val="22"/>
          <w:szCs w:val="22"/>
        </w:rPr>
        <w:t xml:space="preserve">Las Cruces residents already demonstrate strong appetite for multi-vendor food experiences:</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The Farmers &amp; Crafts Market of Las Cruces, recognized by Visit Las Cruces as one of the top-rated farmers markets in the country, draws consistent crowds who move between multiple food vendors in a shared outdoor format.</w:t>
      </w:r>
    </w:p>
    <w:p>
      <w:pPr>
        <w:pStyle w:val="ListParagraph"/>
        <w:numPr>
          <w:ilvl w:val="0"/>
          <w:numId w:val="2"/>
        </w:numPr>
        <w:spacing w:before="40" w:after="40"/>
      </w:pPr>
      <w:r>
        <w:rPr>
          <w:rFonts w:ascii="Arial" w:cs="Arial" w:eastAsia="Arial" w:hAnsi="Arial"/>
          <w:color w:val="1A1A1A"/>
          <w:sz w:val="22"/>
          <w:szCs w:val="22"/>
        </w:rPr>
        <w:t xml:space="preserve">The Borderland Car Show &amp; Food Truck Festival drew 25 food trucks and an estimated 5,000-10,000 attendees, proving that curated multi-vendor food events generate mass attendance when properly promoted.</w:t>
      </w:r>
    </w:p>
    <w:p>
      <w:pPr>
        <w:pStyle w:val="ListParagraph"/>
        <w:numPr>
          <w:ilvl w:val="0"/>
          <w:numId w:val="2"/>
        </w:numPr>
        <w:spacing w:before="40" w:after="40"/>
      </w:pPr>
      <w:r>
        <w:rPr>
          <w:rFonts w:ascii="Arial" w:cs="Arial" w:eastAsia="Arial" w:hAnsi="Arial"/>
          <w:color w:val="1A1A1A"/>
          <w:sz w:val="22"/>
          <w:szCs w:val="22"/>
        </w:rPr>
        <w:t xml:space="preserve">Active food truck clusters operate throughout the city. Facebook community groups document residents actively seeking out informal multi-truck food gatherings in parking lots -- demonstrating demand that lacks permanent infrastructure to serve it.</w:t>
      </w:r>
    </w:p>
    <w:p>
      <w:pPr>
        <w:pStyle w:val="ListParagraph"/>
        <w:numPr>
          <w:ilvl w:val="0"/>
          <w:numId w:val="2"/>
        </w:numPr>
        <w:spacing w:before="40" w:after="40"/>
      </w:pPr>
      <w:r>
        <w:rPr>
          <w:rFonts w:ascii="Arial" w:cs="Arial" w:eastAsia="Arial" w:hAnsi="Arial"/>
          <w:color w:val="1A1A1A"/>
          <w:sz w:val="22"/>
          <w:szCs w:val="22"/>
        </w:rPr>
        <w:t xml:space="preserve">No purpose-built, permanent food hall or structured food truck park currently exists anywhere in Las Cruces, confirming that the Hub would be establishing a new category with no direct competition.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17.5 Phased Development Model: The MRA De-Risks the Capital Commitment</w:t>
      </w:r>
    </w:p>
    <w:p>
      <w:pPr>
        <w:spacing w:before="60" w:after="80"/>
      </w:pPr>
      <w:r>
        <w:rPr>
          <w:rFonts w:ascii="Arial" w:cs="Arial" w:eastAsia="Arial" w:hAnsi="Arial"/>
          <w:color w:val="1A1A1A"/>
          <w:sz w:val="22"/>
          <w:szCs w:val="22"/>
        </w:rPr>
        <w:t xml:space="preserve">The most strategically significant advantage of the W. Picacho MRA location is that it enables a phased development model that is not financially viable at downtown rent rates. Lower corridor lease costs and the availability of larger parcels allow the Hub to open Phase 1 as an outdoor-first food truck and cider pad format, validate demand with operating history, and then deploy Phase 2 enclosed stall capital backed by real revenue data.</w:t>
      </w:r>
    </w:p>
    <w:p>
      <w:pPr>
        <w:spacing w:before="80" w:after="8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2400"/>
        <w:gridCol w:w="2160"/>
      </w:tblGrid>
      <w:tr>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Format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Capital Required</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Potential</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Strategic Purpose</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Outdoor Foundation (Months 1-12)</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6-8 permanent food truck pads with utility hookups; shared covered seating (30-50 seats); restroom facility; perimeter lighting; 40-60 parking spaces; cider bar in trailer or container format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$300,000-$500,000 total</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$16,000-$27,000/month (truck pad rent, shared services, events, cider bar); near break-even by Month 6-9</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Prove the market. Generate 12 months of foot traffic data, vendor performance metrics, and GRT production history. De-risks Phase 2 capital commitment and substantially strengthens the Phase 2 SBA loan application.</w:t>
            </w:r>
          </w:p>
        </w:tc>
      </w:tr>
      <w:tr>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Permanent Stall Buildout (Months 13-24)</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Convert 4-6 proven truck concepts to permanent enclosed kitchen stalls; semi-enclosed or fully enclosed structure; cider bar moves to permanent indoor location; seating expands to 60-80 indoor seats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$600,000-$900,000</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vendor license model (base rent + % sales); full cider bar program; events at scale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Scale what Phase 1 validated. SBA loan application in Phase 2 is backed by 12 months of operating history -- a dramatically stronger application than a startup with zero revenue history.</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3: Full Activation (Months 25-48)</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mixed-use vision in coordination with Shoto site development: retail kiosks, music stage, expanded cider bar programming, coordination with adjacent residential and retail development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$200,000-$400,000</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Events revenue at full scale; retail commission; expanded Cider Club membership; private buyouts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Become the corridor anchor. By Phase 3, the Hub has 2+ years of operating history, proven vendor mix, and active GRT reinvestment flowing into surrounding infrastructure.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Phase 2 SBA Loan Advantage</w:t>
            </w:r>
          </w:p>
          <w:p>
            <w:pPr>
              <w:spacing w:before="40"/>
            </w:pPr>
            <w:r>
              <w:rPr>
                <w:rFonts w:ascii="Arial" w:cs="Arial" w:eastAsia="Arial" w:hAnsi="Arial"/>
                <w:color w:val="1A1A1A"/>
                <w:sz w:val="21"/>
                <w:szCs w:val="21"/>
              </w:rPr>
              <w:t xml:space="preserve">A startup SBA 7(a) application with no operating history faces a 40-50% approval rate and maximum lender scrutiny. A Phase 2 SBA application submitted after 12 months of Phase 1 operations -- with documented monthly revenue, vendor performance data, GRT tax history, and a proven customer base -- is a fundamentally different application. Industry lenders treat food service businesses with 12+ months of operating history significantly more favorably than pre-revenue startups. The phased model does not reduce total capital invested; it sequences the capital deployment to match evidence of demand.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17.6 Honest Trade-Off Analysis: MRA vs. Downtown Location</w:t>
      </w:r>
    </w:p>
    <w:p>
      <w:pPr>
        <w:spacing w:before="60" w:after="80"/>
      </w:pPr>
      <w:r>
        <w:rPr>
          <w:rFonts w:ascii="Arial" w:cs="Arial" w:eastAsia="Arial" w:hAnsi="Arial"/>
          <w:color w:val="1A1A1A"/>
          <w:sz w:val="22"/>
          <w:szCs w:val="22"/>
        </w:rPr>
        <w:t xml:space="preserve">This business plan is built around a downtown Las Cruces location. The W. Picacho MRA represents a viable and in some dimensions superior alternative that John is actively evaluating in parallel during Phase 1. The following table presents the trade-offs without editorializing -- both locations have genuine strengths.</w:t>
      </w:r>
    </w:p>
    <w:p>
      <w:pPr>
        <w:spacing w:before="80" w:after="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26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Location</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 Picacho MRA Location</w:t>
            </w:r>
          </w:p>
        </w:tc>
        <w:tc>
          <w:tcPr>
            <w:tcW w:type="dxa" w:w="26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Current Assessment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Lease cost</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$12-18/sq ft NNN annually (~$96,000-$144,000/year)</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$6-10/sq ft NNN annually (~$48,000-$80,000/year)</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 $40,000-$64,000/year savings -- the single largest financial variable in the comparison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Day-1 foot traffic</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Established pedestrian flow from DLCP events, Saturday Farmers Market, existing restaurant district</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Must be built; corridor is in early revitalization phase; drive-by traffic (18,000-19,000 vehicles/day) is strong but conversion requires destination marketing</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advantage for Year 1; MRA foot traffic catches up as residential development activates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student access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Walking distance or short ride; strong bike and transit connection</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Further from campus; transit connection via RoadRUNNER Routes 2 and 4 (verify stop proximity to Shoto site)</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advantage; mitigated if transit connection confirmed within 0.5 miles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Financial incentives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grant ($50,000 matching); standard permitting</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Property tax deferral; permit fee waivers ($15,000-$40,000); expedited review; GRT reinvestment; enhanced MRA grant eligibility</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advantage: total incentive package worth $140,000-$360,000 over 5 years vs. $50,000 DLCP grant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narrative strength</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culinary destination; tourism co-marketing; DLCP alignment</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revitalization anchor; equity-focused (lower-income corridor); NMFA, EPE, USDA LFPP, HFFF all strengthened by MRA framing</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 for most grant categories except DLCP-specific programs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Development model</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buildout required from Day 1 (downtown lease economics demand full utilization)</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Phased outdoor-first model financially viable; Phase 1 at $300,000-$500,000 before Phase 2 commitment</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advantage: phase model de-risks capital significantly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vs. adaptive reuse</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Adaptive reuse of existing commercial building; asbestos, electrical, plumbing risks possible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construction possible on Shoto site; eliminates adaptive reuse risks; optimal kitchen layout from the start</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 if Shoto ground lease is achievable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circuit adjacency</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Proximity to Visitor Center, Old Mesilla, downtown dining district -- natural stop for visitors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I-10 visibility; positioned between El Paso/White Sands and downtown; must create own tourism draw</w:t>
            </w:r>
          </w:p>
        </w:tc>
        <w:tc>
          <w:tcPr>
            <w:tcW w:type="dxa" w:w="26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Roughly equal; different visitor capture mechanism</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Parking</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Constrained in downtown core; shared parking or structured required</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Fully solvable on large parcel; 80-120 surface spaces achievable without structured parking cost</w:t>
            </w:r>
          </w:p>
        </w:tc>
        <w:tc>
          <w:tcPr>
            <w:tcW w:type="dxa" w:w="26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advantage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The One Risk the MRA Scenario Cannot Eliminate</w:t>
            </w:r>
          </w:p>
          <w:p>
            <w:pPr>
              <w:spacing w:before="40"/>
            </w:pPr>
            <w:r>
              <w:rPr>
                <w:rFonts w:ascii="Arial" w:cs="Arial" w:eastAsia="Arial" w:hAnsi="Arial"/>
                <w:color w:val="1A1A1A"/>
                <w:sz w:val="21"/>
                <w:szCs w:val="21"/>
              </w:rPr>
              <w:t xml:space="preserve">The W. Picacho corridor is an MRA precisely because it is underinvested. The city's own economic development coordinator acknowledged the revitalization timeline runs 'immediate to 20 years' -- meaning no city commitment to surrounding improvements on a fixed schedule. The Hub must be financially modeled to generate its own foot traffic and revenue regardless of whether the city's corridor improvements materialize on any particular schedule. MRA improvements are modeled as upside in Years 2-5, not as a baseline assumption in Year 1 projections.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17.7 The Deciding Factor: Rent Differential</w:t>
      </w:r>
    </w:p>
    <w:p>
      <w:pPr>
        <w:spacing w:before="60" w:after="80"/>
      </w:pPr>
      <w:r>
        <w:rPr>
          <w:rFonts w:ascii="Arial" w:cs="Arial" w:eastAsia="Arial" w:hAnsi="Arial"/>
          <w:color w:val="1A1A1A"/>
          <w:sz w:val="22"/>
          <w:szCs w:val="22"/>
        </w:rPr>
        <w:t xml:space="preserve">Every other variable in the MRA vs. downtown comparison -- foot traffic, grant eligibility, incentive package, phasing flexibility -- becomes secondary once the rent differential is quantified. This is the one number that drives the financial model more than any other single assumption.</w:t>
      </w:r>
    </w:p>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700"/>
        <w:gridCol w:w="1700"/>
        <w:gridCol w:w="1700"/>
        <w:gridCol w:w="24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Rent Scenario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Annual Rent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Annual Rent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Savings</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5-Year Savings</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Decision Implication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Conservative differential</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$96,000 ($12/sq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$64,000 ($8/sq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$160,000</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incentive package ($140,000-$360,000) plus rent savings makes the MRA financially compelling even if foot traffic builds more slowly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Moderate differential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$120,000 ($15/sq ft)</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$56,000 ($7/sq ft)</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$320,000</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is decisively superior on financial grounds; foot traffic risk is the only variable that could override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Minimal differential</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$96,000 ($12/sq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$80,000 ($10/sq ft)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$80,000</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Incentive package still adds $140,000-$360,000 in value; MRA has slight financial advantage; downtown foot traffic advantage may be worth the cost difference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differential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$96,000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$96,000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incentives alone ($140,000-$360,000) make it the better financial choice; downtown wins only if foot traffic difference materially exceeds incentive value</w:t>
            </w:r>
          </w:p>
        </w:tc>
      </w:tr>
    </w:tbl>
    <w:p>
      <w:pPr>
        <w:spacing w:before="80" w:after="80"/>
      </w:pPr>
      <w:r>
        <w:t xml:space="preserve"/>
      </w:r>
    </w:p>
    <w:p>
      <w:pPr>
        <w:spacing w:before="60" w:after="80"/>
      </w:pPr>
      <w:r>
        <w:rPr>
          <w:rFonts w:ascii="Arial" w:cs="Arial" w:eastAsia="Arial" w:hAnsi="Arial"/>
          <w:color w:val="1A1A1A"/>
          <w:sz w:val="22"/>
          <w:szCs w:val="22"/>
        </w:rPr>
        <w:t xml:space="preserve">A single call to NAI 1st Valley or SVN commercial brokers requesting comparable-space quotes for both corridors will resolve this question within one business day. This is the highest-priority Phase 1 research action for site selection.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17.8 MRA Engagement Action Plan -- Phase 1 Priorities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33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Contact</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Output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Call Blairre Flores at City Economic Development to introduce the Hub and request a meeting about the Shoto catalytic site. Specific question: 'What are the terms on which a private developer can anchor the Shoto hub -- ground lease, JV, or phased purchase?'</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Blairre Flores, Economic Development Coordinator
575-541-2425
economicdev@las-cruces.org</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 of Phase 1</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Meeting with city team; clarity on Shoto site availability, any competing interest, and the city's preferred partnership structure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commercial real estate quotes for (a) downtown 8,000+ sq ft adaptive reuse and (b) W. Picacho corridor sites including any parcels near Tashiro Drive. Ask specifically for NNN annual rates.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NAI 1st Valley Commercial
lascruces.nai1stvalley.com</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 1-2 of Phase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Side-by-side rent comparison; resolves the single most important financial variable in the site decision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RoadRUNNER Transit Route 2 and Route 4 stop proximity to Shoto site. Walk the stop to confirm practical pedestrian access for NMSU students without vehicles.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RoadRUNNER Transit system maps (lascruces.gov)</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 of Phase 1</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Either confirms or eliminates the NMSU student accessibility concern for the MRA location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with MVEDA whether MRA location formally strengthens EPE Economic Development Fund and other grant eligibility -- and whether stacking MRA incentives with NMFA and EPE is permissible.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MVEDA: mveda.com / 575-525-2852</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 2-3 of Phase 1</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Clear financial picture of the stacked incentive value; input into the grant application strategy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Make final site decision based on rent differential data and Shoto site terms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 (decision point)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before any lease is signed or architect is retained</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Committed site; all subsequent Phase 2 activities (architectural drawings, permits, SBA loan real estate documentation) proceed on confirmed location</w:t>
            </w:r>
          </w:p>
        </w:tc>
      </w:tr>
    </w:tbl>
    <w:p>
      <w:pPr>
        <w:spacing w:before="80" w:after="80"/>
      </w:pPr>
      <w:r>
        <w:t xml:space="preserve"/>
      </w:r>
    </w:p>
    <w:p>
      <w:pPr>
        <w:spacing w:before="60" w:after="80"/>
      </w:pPr>
      <w:r>
        <w:rPr>
          <w:rFonts w:ascii="Arial" w:cs="Arial" w:eastAsia="Arial" w:hAnsi="Arial"/>
          <w:i/>
          <w:iCs/>
          <w:color w:val="555555"/>
          <w:sz w:val="20"/>
          <w:szCs w:val="20"/>
        </w:rPr>
        <w:t xml:space="preserve">Sources: City of Las Cruces Economic Development -- W. Picacho and Motel Boulevard MRA page; KRWG Public Media reporting on March 16, 2026 GRT increment financing approval; Stantec West Picacho Metropolitan Redevelopment Plan project description; Mesilla Valley MPO traffic count data (W. Picacho Ave, 18,000-19,000 vehicles/day); NM MainStreet MRA Implementation Toolkit; MVEDA incentives and regional advantages pages; MRA boundary map (included as plan exhibit). Primary city contact: Blairre Flores, Economic Development Coordinator, 575-541-2425, economicdev@las-cruces.org.</w:t>
      </w:r>
    </w:p>
    <w:p>
      <w:pPr>
        <w:pStyle w:val="Heading1"/>
        <w:pBdr>
          <w:bottom w:val="single" w:color="2563A8" w:sz="6" w:space="8"/>
        </w:pBdr>
        <w:spacing w:before="480" w:after="140"/>
      </w:pPr>
      <w:r>
        <w:rPr>
          <w:rFonts w:ascii="Arial" w:cs="Arial" w:eastAsia="Arial" w:hAnsi="Arial"/>
          <w:b/>
          <w:bCs/>
          <w:color w:val="1B3A5C"/>
          <w:sz w:val="36"/>
          <w:szCs w:val="36"/>
        </w:rPr>
        <w:t xml:space="preserve">Appendix A: Full Licensing and Permit Matrix</w:t>
      </w:r>
    </w:p>
    <w:p>
      <w:pPr>
        <w:spacing w:before="60" w:after="80"/>
      </w:pPr>
      <w:r>
        <w:rPr>
          <w:rFonts w:ascii="Arial" w:cs="Arial" w:eastAsia="Arial" w:hAnsi="Arial"/>
          <w:color w:val="1A1A1A"/>
          <w:sz w:val="22"/>
          <w:szCs w:val="22"/>
        </w:rPr>
        <w:t xml:space="preserve">This appendix provides a comprehensive reference of all required licenses and permits for both the hub entity and individual vendor stalls, with timeline guidance and issuing authority contacts.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A.1 Hub-Level Permits -- Complete List</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1400"/>
        <w:gridCol w:w="1400"/>
        <w:gridCol w:w="10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License / Permit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Issuing Authority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Contact / Portal</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Processing Time</w:t>
            </w:r>
          </w:p>
        </w:tc>
        <w:tc>
          <w:tcPr>
            <w:tcW w:type="dxa" w:w="1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Renewal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CRS Tax Registration (Gross Receipts)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Taxation and Revenue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tap.state.nm.us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Immediate online</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lascruces.gov Accela Portal</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day online</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Building Permit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Community Development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575-528-3059</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Valuation-based</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0-8 business days</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project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Retail Food Permit (Hub)</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Environment Dept. Food Safety Bureau</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env.nm.gov/foodprogram</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$200-$500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 weeks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1800"/>
          </w:tcPr>
          <w:p>
            <w:pPr>
              <w:spacing w:before="60" w:after="60"/>
            </w:pPr>
            <w:r>
              <w:rPr>
                <w:sz w:val="18"/>
                <w:szCs w:val="18"/>
              </w:rPr>
              <w:t>NM Winegrower’s License (NMSA 60-6A-11) — Alt. to Dispenser</w:t>
            </w:r>
          </w:p>
        </w:tc>
        <w:tc>
          <w:tcPr>
            <w:tcW w:type="dxa" w:w="1400"/>
          </w:tcPr>
          <w:p>
            <w:pPr>
              <w:spacing w:before="60" w:after="60"/>
            </w:pPr>
            <w:r>
              <w:rPr>
                <w:sz w:val="18"/>
                <w:szCs w:val="18"/>
              </w:rPr>
              <w:t>NM RLD ABC (NM-PLUS portal)</w:t>
            </w:r>
          </w:p>
        </w:tc>
        <w:tc>
          <w:tcPr>
            <w:tcW w:type="dxa" w:w="1600"/>
          </w:tcPr>
          <w:p>
            <w:pPr>
              <w:spacing w:before="60" w:after="60"/>
            </w:pPr>
            <w:r>
              <w:rPr>
                <w:sz w:val="18"/>
                <w:szCs w:val="18"/>
              </w:rPr>
              <w:t>$25/year (under 5,000 gal/yr)</w:t>
            </w:r>
          </w:p>
        </w:tc>
        <w:tc>
          <w:tcPr>
            <w:tcW w:type="dxa" w:w="1800"/>
          </w:tcPr>
          <w:p>
            <w:pPr>
              <w:spacing w:before="60" w:after="60"/>
            </w:pPr>
            <w:r>
              <w:rPr>
                <w:sz w:val="18"/>
                <w:szCs w:val="18"/>
              </w:rPr>
              <w:t>30–60 days — evaluate Month 1</w:t>
            </w:r>
          </w:p>
        </w:tc>
        <w:tc>
          <w:tcPr>
            <w:tcW w:type="dxa" w:w="2760"/>
          </w:tcPr>
          <w:p>
            <w:pPr>
              <w:spacing w:before="60" w:after="60"/>
            </w:pPr>
            <w:r>
              <w:rPr>
                <w:sz w:val="18"/>
                <w:szCs w:val="18"/>
              </w:rPr>
              <w:t>LOWER-COST ALTERNATIVE: Winegrower’s License permits production + retail sale of cider under 5,000 gal/yr at only $25/yr — bypassing the Dispenser quota system entirely. Confirm with NM RLD ABC attorney whether Hub’s specific retail pouring model qualifies before Month 1 filing.</w:t>
            </w:r>
          </w:p>
        </w:tc>
      </w:tr>
      <w:tr>
        <w:tc>
          <w:tcPr>
            <w:tcW w:type="dxa" w:w="1800"/>
          </w:tcPr>
          <w:p>
            <w:pPr>
              <w:spacing w:before="60" w:after="60"/>
            </w:pPr>
            <w:r>
              <w:rPr>
                <w:sz w:val="18"/>
                <w:szCs w:val="18"/>
              </w:rPr>
              <w:t>TTB Federal Permit (only if on-site cider production)</w:t>
            </w:r>
          </w:p>
        </w:tc>
        <w:tc>
          <w:tcPr>
            <w:tcW w:type="dxa" w:w="1400"/>
          </w:tcPr>
          <w:p>
            <w:pPr>
              <w:spacing w:before="60" w:after="60"/>
            </w:pPr>
            <w:r>
              <w:rPr>
                <w:sz w:val="18"/>
                <w:szCs w:val="18"/>
              </w:rPr>
              <w:t>TTB, U.S. Dept. of Treasury (ttb.gov/permits-online)</w:t>
            </w:r>
          </w:p>
        </w:tc>
        <w:tc>
          <w:tcPr>
            <w:tcW w:type="dxa" w:w="1600"/>
          </w:tcPr>
          <w:p>
            <w:pPr>
              <w:spacing w:before="60" w:after="60"/>
            </w:pPr>
            <w:r>
              <w:rPr>
                <w:sz w:val="18"/>
                <w:szCs w:val="18"/>
              </w:rPr>
              <w:t>FREE application; federal excise tax on production volume</w:t>
            </w:r>
          </w:p>
        </w:tc>
        <w:tc>
          <w:tcPr>
            <w:tcW w:type="dxa" w:w="1800"/>
          </w:tcPr>
          <w:p>
            <w:pPr>
              <w:spacing w:before="60" w:after="60"/>
            </w:pPr>
            <w:r>
              <w:rPr>
                <w:sz w:val="18"/>
                <w:szCs w:val="18"/>
              </w:rPr>
              <w:t>60–120 days — BEGIN Month 1 if on-site production</w:t>
            </w:r>
          </w:p>
        </w:tc>
        <w:tc>
          <w:tcPr>
            <w:tcW w:type="dxa" w:w="2760"/>
          </w:tcPr>
          <w:p>
            <w:pPr>
              <w:spacing w:before="60" w:after="60"/>
            </w:pPr>
            <w:r>
              <w:rPr>
                <w:sz w:val="18"/>
                <w:szCs w:val="18"/>
              </w:rPr>
              <w:t>Required ONLY if Hub produces or blends cider on-site. NOT required if Hub pours only pre-produced NM ciders from licensed producers. If on-site production is planned, apply at ttb.gov before or concurrently with NM license. Apply for Brewer’s Notice (beer/cider) or Winery Permit (fruit wine/cider) depending on production method.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Clearance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Planning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575-528-3043</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weeks</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project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Dispenser's Liquor License OR Restaurant A</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RLD ABC Division</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rld.nm.gov/abc -- NM-PLUS portal</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$1,050-$1,300/yr + quota premium</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30-120 days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 -- June 30</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Fire Dept. Occupancy Permit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Fire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575-526-0795</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$100-$300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 required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Hood and Suppression Inspection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Fire Dept.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575-526-0795</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permit</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 Compliance Certificate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Building Dept.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575-528-3200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 buildout cost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Grease Trap Permit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Utilities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575-526-0500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 weeks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 installation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Music and Entertainment License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lascruces.gov</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$50-$200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weeks</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 Permit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Planning Dept.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575-528-3043</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 per sign</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 weeks</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A.2 Individual Vendor Stall Permits -- Each Stall Separately</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00"/>
        <w:gridCol w:w="1800"/>
        <w:gridCol w:w="18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Permit</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Issuing Authority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When Required</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CRS Gross Receipts Registration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Taxation and Revenue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operating</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 files independently</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of Las Cruces Accela Portal</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$50-$150/yr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operating</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provides application walkthrough</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NMED Retail Food Establishment Permit</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Environment Dept.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first service</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stall inspected as separate establishment; schedule staggered per cohort dates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Handler Card (all food staff)</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NM-approved training provider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$15-$30/card</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Within 30 days of hire</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validity; Hub provides group training sessions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ServSafe Manager Certification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National Restaurant Association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$150-$200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opening; on duty at all times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Group certification sessions facilitated by Hub; required by NM law</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Responsible Beverage Service (if serving alcohol)</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ABC-approved provider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$20-$40/staff member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handling alcohol</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coordinates group certification for cider bar staff; all vendors who serve alcohol</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A.3 Liquor License -- Step-by-Step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1</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Obtain NM CRS Tax Registration (prerequisite for all other licenses)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Week 1</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2</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Las Cruces Dispenser license quota status at rld.nm.gov/abc -- note current availability and any quota premium cost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1 -- Week 1</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3</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Consult with attorney on Dispenser vs. Restaurant A license type for cider bar model; confirm which type applies to Hub's alcohol-to-food revenue ratio</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Week 2</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4</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Register in NM-PLUS portal at rld.nm.gov/abc as Business Representative to begin application process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1 -- Week 2</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5</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Submit full application via NM-PLUS: business registration, lease/property documents, owner background check authorization, zoning verification letter, financial statements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Weeks 3-4</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6</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Post 30-day public notice of liquor license application on premises (and in newspaper if required); notify neighbors if required</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2 -- Day 1 after submission</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7</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ABC Division investigation and inspection (may request facility visit and interview)</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2-4</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Step 8</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License issued; all staff Responsible Beverage Service training completed before any alcohol service begins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3-5 (allow up to 120 days total)</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Step 9</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 renewal: pay renewal fees by December 1 each year; license expires June 30</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Annually</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Appendix B: Vendor License Agreement Framework</w:t>
      </w:r>
    </w:p>
    <w:p>
      <w:pPr>
        <w:spacing w:before="60" w:after="80"/>
      </w:pPr>
      <w:r>
        <w:rPr>
          <w:rFonts w:ascii="Arial" w:cs="Arial" w:eastAsia="Arial" w:hAnsi="Arial"/>
          <w:color w:val="1A1A1A"/>
          <w:sz w:val="22"/>
          <w:szCs w:val="22"/>
        </w:rPr>
        <w:t xml:space="preserve">All vendor relationships are governed by license agreements rather than traditional leases. This structure provides the Hub with operational flexibility, faster vendor transition capability if needed, and reduced litigation risk compared to traditional leasehold agreements. Key terms in the license framework:</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B.1 Core License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Term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Permanent Stall License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Incubator Stall License</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Ghost Kitchen License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 Duration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 months initial; auto-renews 12-month increments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12-18 months; no automatic renewal -- performance-based extension or permanent upgrade</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months; renewable upon satisfactory performance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 License Fee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$2,800-$3,200/month (based on stall size and location)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$2,000-$2,500/month (graduated: $2,000 for first 6 months for qualifying operators)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$1,500-$2,000/month</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Sales Percentage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 of gross monthly vendor sales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of gross monthly vendor sales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of gross monthly sales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Payment Schedule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 fee: 1st of each month; Sales %: 15th of following month</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as permanent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as permanent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Stall Assignment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Fixed and exclusive; vendor controls their dedicated kitchen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Fixed for license term; exclusive dedicated kitchen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Assigned bay; exclusive use during contracted hours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Quality Gate Trigger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 Google rating maintained; below 3.5 for 8+ consecutive weeks triggers review</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also subject to 90-day incubator coaching protocol</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sales reporting required; below baseline triggers review</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Removal Notice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60-day written notice with transition support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60-day written notice with graduation counseling or transition support</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30-day written notice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Termination for Cause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Immediate: health code violation; fraud; license violation; criminal activity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Sublicensing</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permitted</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permitted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permitted</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Insurance Requirement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 commercial general liability minimum; Hub named as additional insured</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B.2 Key License Provisions</w:t>
      </w:r>
    </w:p>
    <w:p>
      <w:pPr>
        <w:pStyle w:val="ListParagraph"/>
        <w:numPr>
          <w:ilvl w:val="0"/>
          <w:numId w:val="2"/>
        </w:numPr>
        <w:spacing w:before="40" w:after="40"/>
      </w:pPr>
      <w:r>
        <w:rPr>
          <w:rFonts w:ascii="Arial" w:cs="Arial" w:eastAsia="Arial" w:hAnsi="Arial"/>
          <w:b/>
          <w:bCs/>
          <w:color w:val="1B3A5C"/>
          <w:sz w:val="22"/>
          <w:szCs w:val="22"/>
        </w:rPr>
        <w:t xml:space="preserve">Staggered Start Dates: </w:t>
      </w:r>
      <w:r>
        <w:rPr>
          <w:rFonts w:ascii="Arial" w:cs="Arial" w:eastAsia="Arial" w:hAnsi="Arial"/>
          <w:color w:val="1A1A1A"/>
          <w:sz w:val="22"/>
          <w:szCs w:val="22"/>
        </w:rPr>
        <w:t xml:space="preserve">All incubator licenses begin on different calendar months (no two licenses begin or expire in the same month) to prevent simultaneous mass departure per Smallman Galley lesson</w:t>
      </w:r>
    </w:p>
    <w:p>
      <w:pPr>
        <w:pStyle w:val="ListParagraph"/>
        <w:numPr>
          <w:ilvl w:val="0"/>
          <w:numId w:val="2"/>
        </w:numPr>
        <w:spacing w:before="40" w:after="40"/>
      </w:pPr>
      <w:r>
        <w:rPr>
          <w:rFonts w:ascii="Arial" w:cs="Arial" w:eastAsia="Arial" w:hAnsi="Arial"/>
          <w:b/>
          <w:bCs/>
          <w:color w:val="1B3A5C"/>
          <w:sz w:val="22"/>
          <w:szCs w:val="22"/>
        </w:rPr>
        <w:t xml:space="preserve">Monthly Performance Review: </w:t>
      </w:r>
      <w:r>
        <w:rPr>
          <w:rFonts w:ascii="Arial" w:cs="Arial" w:eastAsia="Arial" w:hAnsi="Arial"/>
          <w:color w:val="1A1A1A"/>
          <w:sz w:val="22"/>
          <w:szCs w:val="22"/>
        </w:rPr>
        <w:t xml:space="preserve">Hub management meets with each vendor monthly to review P&amp;L, customer feedback, Google ratings, health compliance, and incubator milestone progress</w:t>
      </w:r>
    </w:p>
    <w:p>
      <w:pPr>
        <w:pStyle w:val="ListParagraph"/>
        <w:numPr>
          <w:ilvl w:val="0"/>
          <w:numId w:val="2"/>
        </w:numPr>
        <w:spacing w:before="40" w:after="40"/>
      </w:pPr>
      <w:r>
        <w:rPr>
          <w:rFonts w:ascii="Arial" w:cs="Arial" w:eastAsia="Arial" w:hAnsi="Arial"/>
          <w:b/>
          <w:bCs/>
          <w:color w:val="1B3A5C"/>
          <w:sz w:val="22"/>
          <w:szCs w:val="22"/>
        </w:rPr>
        <w:t xml:space="preserve">Taste-Testing Rights: </w:t>
      </w:r>
      <w:r>
        <w:rPr>
          <w:rFonts w:ascii="Arial" w:cs="Arial" w:eastAsia="Arial" w:hAnsi="Arial"/>
          <w:color w:val="1A1A1A"/>
          <w:sz w:val="22"/>
          <w:szCs w:val="22"/>
        </w:rPr>
        <w:t xml:space="preserve">Hub founder/CEO reserves right to conduct weekly unannounced spot-check tastings of any vendor's food; findings documented and provided to vendor with any required corrective action</w:t>
      </w:r>
    </w:p>
    <w:p>
      <w:pPr>
        <w:pStyle w:val="ListParagraph"/>
        <w:numPr>
          <w:ilvl w:val="0"/>
          <w:numId w:val="2"/>
        </w:numPr>
        <w:spacing w:before="40" w:after="40"/>
      </w:pPr>
      <w:r>
        <w:rPr>
          <w:rFonts w:ascii="Arial" w:cs="Arial" w:eastAsia="Arial" w:hAnsi="Arial"/>
          <w:b/>
          <w:bCs/>
          <w:color w:val="1B3A5C"/>
          <w:sz w:val="22"/>
          <w:szCs w:val="22"/>
        </w:rPr>
        <w:t xml:space="preserve">NMED Permit Responsibility: </w:t>
      </w:r>
      <w:r>
        <w:rPr>
          <w:rFonts w:ascii="Arial" w:cs="Arial" w:eastAsia="Arial" w:hAnsi="Arial"/>
          <w:color w:val="1A1A1A"/>
          <w:sz w:val="22"/>
          <w:szCs w:val="22"/>
        </w:rPr>
        <w:t xml:space="preserve">Each vendor is individually responsible for maintaining their own NMED Retail Food Establishment Permit; Hub assists with renewal coordination but does not assume permit liability</w:t>
      </w:r>
    </w:p>
    <w:p>
      <w:pPr>
        <w:pStyle w:val="ListParagraph"/>
        <w:numPr>
          <w:ilvl w:val="0"/>
          <w:numId w:val="2"/>
        </w:numPr>
        <w:spacing w:before="40" w:after="40"/>
      </w:pPr>
      <w:r>
        <w:rPr>
          <w:rFonts w:ascii="Arial" w:cs="Arial" w:eastAsia="Arial" w:hAnsi="Arial"/>
          <w:b/>
          <w:bCs/>
          <w:color w:val="1B3A5C"/>
          <w:sz w:val="22"/>
          <w:szCs w:val="22"/>
        </w:rPr>
        <w:t xml:space="preserve">Allergen Compliance: </w:t>
      </w:r>
      <w:r>
        <w:rPr>
          <w:rFonts w:ascii="Arial" w:cs="Arial" w:eastAsia="Arial" w:hAnsi="Arial"/>
          <w:color w:val="1A1A1A"/>
          <w:sz w:val="22"/>
          <w:szCs w:val="22"/>
        </w:rPr>
        <w:t xml:space="preserve">Each vendor must maintain compliant 9-allergen disclosure on menus and at point of service; Hub verifies compliance monthly as part of quality gate protocol</w:t>
      </w:r>
    </w:p>
    <w:p>
      <w:pPr>
        <w:pStyle w:val="ListParagraph"/>
        <w:numPr>
          <w:ilvl w:val="0"/>
          <w:numId w:val="2"/>
        </w:numPr>
        <w:spacing w:before="40" w:after="40"/>
      </w:pPr>
      <w:r>
        <w:rPr>
          <w:rFonts w:ascii="Arial" w:cs="Arial" w:eastAsia="Arial" w:hAnsi="Arial"/>
          <w:b/>
          <w:bCs/>
          <w:color w:val="1B3A5C"/>
          <w:sz w:val="22"/>
          <w:szCs w:val="22"/>
        </w:rPr>
        <w:t xml:space="preserve">Local Sourcing Commitment: </w:t>
      </w:r>
      <w:r>
        <w:rPr>
          <w:rFonts w:ascii="Arial" w:cs="Arial" w:eastAsia="Arial" w:hAnsi="Arial"/>
          <w:color w:val="1A1A1A"/>
          <w:sz w:val="22"/>
          <w:szCs w:val="22"/>
        </w:rPr>
        <w:t xml:space="preserve">Vendors are encouraged (permanent) or required (incubator) to source minimum 20% of ingredients from NM producers; Hub facilitates connections with local farms, chile producers, and pecan growers</w:t>
      </w:r>
    </w:p>
    <w:p>
      <w:pPr>
        <w:pStyle w:val="ListParagraph"/>
        <w:numPr>
          <w:ilvl w:val="0"/>
          <w:numId w:val="2"/>
        </w:numPr>
        <w:spacing w:before="40" w:after="40"/>
      </w:pPr>
      <w:r>
        <w:rPr>
          <w:rFonts w:ascii="Arial" w:cs="Arial" w:eastAsia="Arial" w:hAnsi="Arial"/>
          <w:b/>
          <w:bCs/>
          <w:color w:val="1B3A5C"/>
          <w:sz w:val="22"/>
          <w:szCs w:val="22"/>
        </w:rPr>
        <w:t xml:space="preserve">Insurance Updates: </w:t>
      </w:r>
      <w:r>
        <w:rPr>
          <w:rFonts w:ascii="Arial" w:cs="Arial" w:eastAsia="Arial" w:hAnsi="Arial"/>
          <w:color w:val="1A1A1A"/>
          <w:sz w:val="22"/>
          <w:szCs w:val="22"/>
        </w:rPr>
        <w:t xml:space="preserve">Vendors must notify Hub immediately of any insurance policy change, cancellation, or claim; annual insurance certificate renewal required each January</w:t>
      </w:r>
    </w:p>
    <w:p>
      <w:r>
        <w:br w:type="page"/>
      </w:r>
    </w:p>
    <w:p>
      <w:pPr>
        <w:pStyle w:val="Heading2"/>
      </w:pPr>
      <w:r>
        <w:t>B.3 Gift Shop and Retail Product Addendum</w:t>
      </w:r>
    </w:p>
    <w:p>
      <w:r>
        <w:t>Any vendor participating in the gift shop, retail incubator shelf, packaged product program, or Hub-branded retail kit program must sign a retail product addendum to the vendor license agreement.</w:t>
      </w:r>
    </w:p>
    <w:p>
      <w:pPr>
        <w:pStyle w:val="ListParagraph"/>
      </w:pPr>
      <w:r>
        <w:t>Approved products: only Hub-approved shelf-stable, packaged, labeled, and legally saleable products may be sold through the gift shop or retail shelf.</w:t>
      </w:r>
    </w:p>
    <w:p>
      <w:pPr>
        <w:pStyle w:val="ListParagraph"/>
      </w:pPr>
      <w:r>
        <w:t>Revenue structure: the agreement will specify wholesale pricing, consignment terms, commission, or revenue share before product placement.</w:t>
      </w:r>
    </w:p>
    <w:p>
      <w:pPr>
        <w:pStyle w:val="ListParagraph"/>
      </w:pPr>
      <w:r>
        <w:t>Food safety and labeling: vendor remains responsible for product safety, ingredient disclosure, allergen labeling, production records, expiration dates, and compliance with NMED and other applicable rules.</w:t>
      </w:r>
    </w:p>
    <w:p>
      <w:pPr>
        <w:pStyle w:val="ListParagraph"/>
      </w:pPr>
      <w:r>
        <w:t>Insurance and indemnity: vendor insurance must cover packaged goods, retail sales, product liability, and any vendor-caused claims, with the Hub named as additional insured where required.</w:t>
      </w:r>
    </w:p>
    <w:p>
      <w:pPr>
        <w:pStyle w:val="ListParagraph"/>
      </w:pPr>
      <w:r>
        <w:t>Inventory handling: the agreement will define delivery, storage, display, spoilage, damaged goods, unsold product, recalls, and who may remove or discount inventory.</w:t>
      </w:r>
    </w:p>
    <w:p>
      <w:pPr>
        <w:pStyle w:val="ListParagraph"/>
      </w:pPr>
      <w:r>
        <w:t>Sales reporting: all gift shop sales must flow through the Hub-approved POS or reporting process so revenue share, taxes, and vendor performance can be tracked accurately.</w:t>
      </w:r>
    </w:p>
    <w:p>
      <w:pPr>
        <w:pStyle w:val="Heading1"/>
        <w:pBdr>
          <w:bottom w:val="single" w:color="2563A8" w:sz="6" w:space="8"/>
        </w:pBdr>
        <w:spacing w:before="480" w:after="140"/>
      </w:pPr>
      <w:r>
        <w:rPr>
          <w:rFonts w:ascii="Arial" w:cs="Arial" w:eastAsia="Arial" w:hAnsi="Arial"/>
          <w:b/>
          <w:bCs/>
          <w:color w:val="1B3A5C"/>
          <w:sz w:val="36"/>
          <w:szCs w:val="36"/>
        </w:rPr>
        <w:t xml:space="preserve">Appendix C: Required Loan and Grant Documents Checklist</w:t>
      </w:r>
    </w:p>
    <w:p>
      <w:pPr>
        <w:spacing w:before="60" w:after="80"/>
      </w:pPr>
      <w:r>
        <w:rPr>
          <w:rFonts w:ascii="Arial" w:cs="Arial" w:eastAsia="Arial" w:hAnsi="Arial"/>
          <w:color w:val="1A1A1A"/>
          <w:sz w:val="22"/>
          <w:szCs w:val="22"/>
        </w:rPr>
        <w:t xml:space="preserve">This checklist aligns with SBA 7(a) loan requirements and typical economic development grant application requirements. Preparation of these documents should begin in Month 1 of Phase 1.</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C.1 SBA 7(a) Loan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w:t>
            </w:r>
          </w:p>
        </w:tc>
        <w:tc>
          <w:tcPr>
            <w:tcW w:type="dxa" w:w="4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Personal Tax Returns (3 years)</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Provides lenders a snapshot of personal financial history and income</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Tax Returns (3 years, if existing business)</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financial history; Profit and Loss Statement; Balance Sheet</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Personal Financial Statement (SBA Form 413)</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Net worth, assets, liabilities -- personal guarantee documentation</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Personal History Statement (SBA Form 912)</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Background disclosure form required for all SBA applications</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IRS Form 4506-C (Tax Transcript Request)</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Authorizes IRS to provide tax transcripts directly to lender</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Resumes of All Principals</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 history, education, qualifications of all owners with 20%+ stake</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Plan (this document)</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Comprehensive plan including financial projections and market analysis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 this document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3-Year Financial Projections</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Month-by-month Year 1; annual Years 2-3; with assumptions documented</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Section 7</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Licenses and Legal Documents</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registration; articles of formation; operating agreement</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prepare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Lease Agreement</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Copy of signed lease or letter of intent for business location</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obtain Month 3</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Purchase Invoices</w:t>
            </w:r>
          </w:p>
        </w:tc>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Quotes or invoices for major equipment purchases planned</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obtain Phase 2</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Debt Schedule</w:t>
            </w:r>
          </w:p>
        </w:tc>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existing personal and business debts; amounts, rates, payments</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prepare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C.2 Grant Application Documents (NMFA, HFFF, EPE, DLCP,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w:t>
            </w:r>
          </w:p>
        </w:tc>
        <w:tc>
          <w:tcPr>
            <w:tcW w:type="dxa" w:w="4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When Needed</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Plan (this document)</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Core narrative for all grant applications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Ready now</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Financial Projections (3-year)</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Evidence of financial viability and economic impact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 Section 7</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Job Creation Certification</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commitment to number and type of jobs created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 Month 3</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Impact Narrative</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development story; minority entrepreneur commitment; workforce outcomes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 Section 10</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Site Control Evidence</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Signed lease or letter of intent; confirms downtown location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Phase 1</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Architectural Plans and Cost Estimates</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Required for buildout-related grants; Renovate Main Street matching grant</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 Month 4-5</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Letters of Support</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From DLCP, MVEDA, Visit Las Cruces, NMSU, DACC, Las Cruces Chamber</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 Month 2-3</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Vendor Commitment Letters</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Signed letters of intent from priority target vendors (Southern BBQ, Mediterranean, Asian Fusion, and others); Hub Signature Restaurant slot reserved as owner-operated (no LOI required)</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1 -- Month 2</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Partnership Agreements</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MOU or agreement with NMSU and DACC for apprenticeship program</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2 -- Month 6</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Local Agriculture Sourcing Plan</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Documentation of planned NM farm and producer partnerships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 Month 5</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Environmental Review (if required)</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NEPA compliance documentation for USDA rural development grants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2 -- Month 5</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Demographic Data and Equity Commitment</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Supporting documentation for minority entrepreneur priority commitments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 Section 4.5</w:t>
            </w:r>
          </w:p>
        </w:tc>
      </w:tr>
    </w:tbl>
    <w:p>
      <w:pPr>
        <w:spacing w:before="80" w:after="80"/>
      </w:pPr>
      <w:r>
        <w:t xml:space="preserve"/>
      </w:r>
    </w:p>
    <w:p>
      <w:pPr>
        <w:spacing w:before="60" w:after="80"/>
      </w:pPr>
      <w:r>
        <w:rPr>
          <w:rFonts w:ascii="Arial" w:cs="Arial" w:eastAsia="Arial" w:hAnsi="Arial"/>
          <w:color w:val="1A1A1A"/>
          <w:sz w:val="22"/>
          <w:szCs w:val="22"/>
        </w:rPr>
        <w:t xml:space="preserve">Note: Individual grant agencies may require additional documents specific to their program. Review each agency's current application requirements at the time of submission. NMFA applications go through the NM Economic Development Department. HFFF applications through the Historic and Future Funds of the Farm program. EPE grants through MVEDA at mveda.com.</w:t>
      </w:r>
    </w:p>
    <w:p>
      <w:pPr>
        <w:spacing w:before="80" w:after="80"/>
      </w:pPr>
      <w:r>
        <w:t xml:space="preserve"/>
      </w:r>
    </w:p>
    <w:p>
      <w:pPr>
        <w:spacing w:before="60" w:after="80"/>
      </w:pPr>
      <w:r>
        <w:rPr>
          <w:rFonts w:ascii="Arial" w:cs="Arial" w:eastAsia="Arial" w:hAnsi="Arial"/>
          <w:i/>
          <w:iCs/>
          <w:color w:val="555555"/>
          <w:sz w:val="20"/>
          <w:szCs w:val="20"/>
        </w:rPr>
        <w:t xml:space="preserve">This document contains forward-looking financial projections based on conservative market assumptions. All projections have been stress-tested at 60-70% occupancy and remain EBITDA-positive. Actual results may vary based on market conditions, operator performance, execution quality, and external factors. Licensing information reflects research conducted April 2026 -- verify current requirements directly with the City of Las Cruces and NM ABC Division before filing applications.</w:t>
      </w:r>
    </w:p>
    <w:sectPr>
      <w:pgSz w:w="12240" w:h="15840" w:orient="portrait"/>
      <w:pgMar w:top="1440" w:right="1440" w:bottom="1440" w:left="1440" w:header="708" w:footer="708" w:gutter="0"/>
      <w:pgNumType/>
      <w:docGrid w:linePitch="360"/>
    </w:sectPr>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Appendix D: Food Truck Seating Regulations vs. Food Truck Park Seating -- Research Analysis</w:t>
      </w:r>
    </w:p>
    <w:p>
      <w:pPr>
        <w:spacing w:before="60" w:after="80"/>
      </w:pPr>
      <w:r>
        <w:rPr>
          <w:rFonts w:ascii="Arial" w:cs="Arial" w:eastAsia="Arial" w:hAnsi="Arial"/>
          <w:color w:val="1A1A1A"/>
          <w:sz w:val="22"/>
          <w:szCs w:val="22"/>
        </w:rPr>
        <w:t xml:space="preserve">This appendix provides a comprehensive regulatory analysis of seating area requirements as they apply to standalone food truck operations versus organized food truck parks, with specific attention to New Mexico state law, national regulatory benchmarks, and the direct strategic implications for the Las Cruces Culinary Innovation Hub. Understanding these distinctions is critical both for competitive positioning and for compliance planning when the Hub's commissary kitchen or event spaces interact with mobile food vendor regulations.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Why This Matters for the Hub</w:t>
            </w:r>
          </w:p>
          <w:p>
            <w:pPr>
              <w:spacing w:before="40"/>
            </w:pPr>
            <w:r>
              <w:rPr>
                <w:rFonts w:ascii="Arial" w:cs="Arial" w:eastAsia="Arial" w:hAnsi="Arial"/>
                <w:color w:val="1A1A1A"/>
                <w:sz w:val="21"/>
                <w:szCs w:val="21"/>
              </w:rPr>
              <w:t xml:space="preserve">The Las Cruces Culinary Innovation Hub is a fixed indoor food hall -- not a food truck or a food truck park. However, understanding the regulatory gap between mobile food truck seating (severely restricted) and food truck park seating (moderately regulated with structured requirements) directly demonstrates why the Hub's indoor, permitted, climate-controlled format is the superior model for Las Cruces. This appendix also informs how the Hub's commissary kitchen program relates to food truck operators who use it as their servicing area.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D.1 New Mexico State Law Governing Mobile Food Establishments</w:t>
      </w:r>
    </w:p>
    <w:p>
      <w:pPr>
        <w:spacing w:before="60" w:after="80"/>
      </w:pPr>
      <w:r>
        <w:rPr>
          <w:rFonts w:ascii="Arial" w:cs="Arial" w:eastAsia="Arial" w:hAnsi="Arial"/>
          <w:color w:val="1A1A1A"/>
          <w:sz w:val="22"/>
          <w:szCs w:val="22"/>
        </w:rPr>
        <w:t xml:space="preserve">All food trucks operating in New Mexico are governed by Title 7, Chapter 6, Part 2 of the New Mexico Administrative Code (7.6.2 NMAC) -- the Food Service and Food Processing Regulations administered by the New Mexico Environment Department (NMED). This code was last substantively updated in December 2018 and is based on the 2017 FDA Model Food Code.</w:t>
      </w:r>
    </w:p>
    <w:p>
      <w:pPr>
        <w:spacing w:before="80" w:after="80"/>
      </w:pPr>
      <w:r>
        <w:t xml:space="preserve"/>
      </w:r>
    </w:p>
    <w:p>
      <w:pPr>
        <w:spacing w:before="220" w:after="80"/>
      </w:pPr>
      <w:r>
        <w:rPr>
          <w:rFonts w:ascii="Arial" w:cs="Arial" w:eastAsia="Arial" w:hAnsi="Arial"/>
          <w:b/>
          <w:bCs/>
          <w:color w:val="14746F"/>
          <w:sz w:val="24"/>
          <w:szCs w:val="24"/>
        </w:rPr>
        <w:t xml:space="preserve">The Enclosure Rule -- The Single Most Important NM Food Truck Seating Constraint</w:t>
      </w:r>
    </w:p>
    <w:p>
      <w:pPr>
        <w:spacing w:before="60" w:after="80"/>
      </w:pPr>
      <w:r>
        <w:rPr>
          <w:rFonts w:ascii="Arial" w:cs="Arial" w:eastAsia="Arial" w:hAnsi="Arial"/>
          <w:color w:val="1A1A1A"/>
          <w:sz w:val="22"/>
          <w:szCs w:val="22"/>
        </w:rPr>
        <w:t xml:space="preserve">NM Admin. Code Section 7.6.2.9(G) states explicitly: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0C8E8" w:sz="1"/>
              <w:left w:val="single" w:color="B0C8E8" w:sz="1"/>
              <w:bottom w:val="single" w:color="B0C8E8" w:sz="1"/>
              <w:right w:val="single" w:color="B0C8E8" w:sz="1"/>
            </w:tcBorders>
            <w:shd w:fill="F5F0E8" w:val="clear"/>
            <w:tcMar>
              <w:top w:type="dxa" w:w="120"/>
              <w:left w:type="dxa" w:w="200"/>
              <w:bottom w:type="dxa" w:w="120"/>
              <w:right w:type="dxa" w:w="200"/>
            </w:tcMar>
          </w:tcPr>
          <w:p>
            <w:pPr>
              <w:spacing w:before="40" w:after="40"/>
            </w:pPr>
            <w:r>
              <w:rPr>
                <w:rFonts w:ascii="Arial" w:cs="Arial" w:eastAsia="Arial" w:hAnsi="Arial"/>
                <w:i/>
                <w:iCs/>
                <w:color w:val="1A1A1A"/>
                <w:sz w:val="21"/>
                <w:szCs w:val="21"/>
              </w:rPr>
              <w:t xml:space="preserve">"The operation of mobile food establishments shall be conducted within the enclosure of the permitted unit. During a single event or celebration, certain operations (e.g., additional covered storage, additional food preparation area, outdoor serving counter) may be conducted outside of the enclosure, when approved. If approved, an additional temporary food establishment permit shall be required."</w:t>
            </w:r>
          </w:p>
        </w:tc>
      </w:tr>
    </w:tbl>
    <w:p>
      <w:pPr>
        <w:spacing w:before="80" w:after="80"/>
      </w:pPr>
      <w:r>
        <w:t xml:space="preserve"/>
      </w:r>
    </w:p>
    <w:p>
      <w:pPr>
        <w:spacing w:before="60" w:after="80"/>
      </w:pPr>
      <w:r>
        <w:rPr>
          <w:rFonts w:ascii="Arial" w:cs="Arial" w:eastAsia="Arial" w:hAnsi="Arial"/>
          <w:color w:val="1A1A1A"/>
          <w:sz w:val="22"/>
          <w:szCs w:val="22"/>
        </w:rPr>
        <w:t xml:space="preserve">This single provision has profound implications for seating. The law requires all mobile food operations to occur within the physical enclosure of the truck itself. Any outdoor activity -- including an outdoor serving counter -- requires separate approval and a temporary food establishment permit. The regulation says nothing about customer seating areas because, under the strict reading of NM law, mobile food establishments are not expected to have them at all under standard operating conditions.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NM Code Provision</w:t>
            </w:r>
          </w:p>
        </w:tc>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Regulatory Text (Summary)</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Seating Implication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7.6.2.9(G) -- Enclosure Rule</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operations shall be conducted within the permitted unit's enclosure; outdoor operations at events require additional temporary permit</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seating is not addressed because standard food truck operation contemplates no seating; any outdoor serving arrangement requires separate NMED approval and temporary permit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7.6.2.9(H) -- Single-Service Articles</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Mobile food establishments shall provide only single-service articles (disposable) for consumers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reusable dishware, glassware, or table service -- operationally consistent with take-away service, not seated dining</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7.6.2.9(I) -- Self-Contained Requirements</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Self-contained units must accomplish all food preparation and warewashing within the enclosure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built-in provision for table service or seated-dining support infrastructure such as bus tubs, dishwashing stations for table items, etc.</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7.6.2.9(J) -- Servicing Area Agreement</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Non-self-contained units require a formal servicing area agreement specifying days, hours, and support services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servicing area (commissary) is the food truck's regulatory home base -- this is where the Hub's commissary kitchen program intersects with food truck operators</w:t>
            </w:r>
          </w:p>
        </w:tc>
      </w:tr>
    </w:tbl>
    <w:p>
      <w:pPr>
        <w:spacing w:before="80" w:after="80"/>
      </w:pPr>
      <w:r>
        <w:t xml:space="preserve"/>
      </w:r>
    </w:p>
    <w:p>
      <w:pPr>
        <w:spacing w:before="220" w:after="80"/>
      </w:pPr>
      <w:r>
        <w:rPr>
          <w:rFonts w:ascii="Arial" w:cs="Arial" w:eastAsia="Arial" w:hAnsi="Arial"/>
          <w:b/>
          <w:bCs/>
          <w:color w:val="14746F"/>
          <w:sz w:val="24"/>
          <w:szCs w:val="24"/>
        </w:rPr>
        <w:t xml:space="preserve">The Servicing Area Relationship -- How This Connects to the Hub's Commissary Kitchen</w:t>
      </w:r>
    </w:p>
    <w:p>
      <w:pPr>
        <w:spacing w:before="60" w:after="80"/>
      </w:pPr>
      <w:r>
        <w:rPr>
          <w:rFonts w:ascii="Arial" w:cs="Arial" w:eastAsia="Arial" w:hAnsi="Arial"/>
          <w:color w:val="1A1A1A"/>
          <w:sz w:val="22"/>
          <w:szCs w:val="22"/>
        </w:rPr>
        <w:t xml:space="preserve">NM 7.6.2.9(J) requires all non-self-contained mobile food units to maintain a formal agreement with a licensed servicing area (commissary kitchen). That agreement must document the days and hours of use and the extent of support services provided. The servicing area itself must hold its own NMED food permit.</w:t>
      </w:r>
    </w:p>
    <w:p>
      <w:pPr>
        <w:spacing w:before="80" w:after="80"/>
      </w:pPr>
      <w:r>
        <w:t xml:space="preserve"/>
      </w:r>
    </w:p>
    <w:p>
      <w:pPr>
        <w:spacing w:before="60" w:after="80"/>
      </w:pPr>
      <w:r>
        <w:rPr>
          <w:rFonts w:ascii="Arial" w:cs="Arial" w:eastAsia="Arial" w:hAnsi="Arial"/>
          <w:color w:val="1A1A1A"/>
          <w:sz w:val="22"/>
          <w:szCs w:val="22"/>
        </w:rPr>
        <w:t xml:space="preserve">This means the Hub's shared commissary kitchen, when used by food truck operators as their licensed servicing area, creates a formal regulatory relationship between the Hub and those operators. The Hub's commissary kitchen permits must remain current and the servicing area agreement must be properly documented for each food truck client. This is manageable and is built into the Hub's commissary kitchen rental agreement framework.</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D.2 Standalone Food Truck Seating -- The National Regulatory Picture</w:t>
      </w:r>
    </w:p>
    <w:p>
      <w:pPr>
        <w:spacing w:before="60" w:after="80"/>
      </w:pPr>
      <w:r>
        <w:rPr>
          <w:rFonts w:ascii="Arial" w:cs="Arial" w:eastAsia="Arial" w:hAnsi="Arial"/>
          <w:color w:val="1A1A1A"/>
          <w:sz w:val="22"/>
          <w:szCs w:val="22"/>
        </w:rPr>
        <w:t xml:space="preserve">Across the United States, the regulatory treatment of seating areas for standalone food trucks -- those operating on streets, public property, or private lots without a designated park structure -- varies significantly by municipality. However, several consistent patterns emerge from national research that are directly instructive for Las Cruces.</w:t>
      </w:r>
    </w:p>
    <w:p>
      <w:pPr>
        <w:spacing w:before="80" w:after="80"/>
      </w:pPr>
      <w:r>
        <w:t xml:space="preserve"/>
      </w:r>
    </w:p>
    <w:p>
      <w:pPr>
        <w:spacing w:before="220" w:after="80"/>
      </w:pPr>
      <w:r>
        <w:rPr>
          <w:rFonts w:ascii="Arial" w:cs="Arial" w:eastAsia="Arial" w:hAnsi="Arial"/>
          <w:b/>
          <w:bCs/>
          <w:color w:val="14746F"/>
          <w:sz w:val="24"/>
          <w:szCs w:val="24"/>
        </w:rPr>
        <w:t xml:space="preserve">Pattern 1: Many Jurisdictions Prohibit Standalone Food Truck Seating Entirely</w:t>
      </w:r>
    </w:p>
    <w:p>
      <w:pPr>
        <w:spacing w:before="60" w:after="80"/>
      </w:pPr>
      <w:r>
        <w:rPr>
          <w:rFonts w:ascii="Arial" w:cs="Arial" w:eastAsia="Arial" w:hAnsi="Arial"/>
          <w:color w:val="1A1A1A"/>
          <w:sz w:val="22"/>
          <w:szCs w:val="22"/>
        </w:rPr>
        <w:t xml:space="preserve">The Town of Cary, North Carolina's food truck ordinance is representative of one end of the regulatory spectrum. It states explicitly: 'Outdoor seating areas for dining associated with a food truck, including but not limited to tables, chairs, booths, bar stools, benches, and standup counters, are not permitted.' This is not an uncommon approach -- many municipalities treat mobile food vendors as purely transactional operations with no seating infrastructure permitted.</w:t>
      </w:r>
    </w:p>
    <w:p>
      <w:pPr>
        <w:spacing w:before="80" w:after="80"/>
      </w:pPr>
      <w:r>
        <w:t xml:space="preserve"/>
      </w:r>
    </w:p>
    <w:p>
      <w:pPr>
        <w:spacing w:before="60" w:after="80"/>
      </w:pPr>
      <w:r>
        <w:rPr>
          <w:rFonts w:ascii="Arial" w:cs="Arial" w:eastAsia="Arial" w:hAnsi="Arial"/>
          <w:color w:val="1A1A1A"/>
          <w:sz w:val="22"/>
          <w:szCs w:val="22"/>
        </w:rPr>
        <w:t xml:space="preserve">The rationale is straightforward: standalone food trucks are mobile vendors, not restaurants. Permitting seating would effectively convert a mobile food vendor into a semi-permanent outdoor restaurant, which carries different zoning, health, ADA, and public safety obligations than a mobile permit covers.</w:t>
      </w:r>
    </w:p>
    <w:p>
      <w:pPr>
        <w:spacing w:before="80" w:after="80"/>
      </w:pPr>
      <w:r>
        <w:t xml:space="preserve"/>
      </w:r>
    </w:p>
    <w:p>
      <w:pPr>
        <w:spacing w:before="220" w:after="80"/>
      </w:pPr>
      <w:r>
        <w:rPr>
          <w:rFonts w:ascii="Arial" w:cs="Arial" w:eastAsia="Arial" w:hAnsi="Arial"/>
          <w:b/>
          <w:bCs/>
          <w:color w:val="14746F"/>
          <w:sz w:val="24"/>
          <w:szCs w:val="24"/>
        </w:rPr>
        <w:t xml:space="preserve">Pattern 2: Where Seating Is Permitted, Lot Size Is the Primary Limiting Factor</w:t>
      </w:r>
    </w:p>
    <w:p>
      <w:pPr>
        <w:spacing w:before="60" w:after="80"/>
      </w:pPr>
      <w:r>
        <w:rPr>
          <w:rFonts w:ascii="Arial" w:cs="Arial" w:eastAsia="Arial" w:hAnsi="Arial"/>
          <w:color w:val="1A1A1A"/>
          <w:sz w:val="22"/>
          <w:szCs w:val="22"/>
        </w:rPr>
        <w:t xml:space="preserve">In jurisdictions that do permit food truck seating, the permission is typically tied to minimum lot size requirements. The City of Raleigh's food truck regulations, for example, specify that outdoor seating associated with a food truck is only permitted on lots of at least two acres in size. This threshold effectively excludes most urban street locations, small parking lots, and sidewalk vending positions from seating eligibility.</w:t>
      </w:r>
    </w:p>
    <w:p>
      <w:pPr>
        <w:spacing w:before="80" w:after="80"/>
      </w:pPr>
      <w:r>
        <w:t xml:space="preserve"/>
      </w:r>
    </w:p>
    <w:p>
      <w:pPr>
        <w:spacing w:before="220" w:after="80"/>
      </w:pPr>
      <w:r>
        <w:rPr>
          <w:rFonts w:ascii="Arial" w:cs="Arial" w:eastAsia="Arial" w:hAnsi="Arial"/>
          <w:b/>
          <w:bCs/>
          <w:color w:val="14746F"/>
          <w:sz w:val="24"/>
          <w:szCs w:val="24"/>
        </w:rPr>
        <w:t xml:space="preserve">Pattern 3: Distance Requirements from Existing Restaurants Create Seating Zone Conflicts</w:t>
      </w:r>
    </w:p>
    <w:p>
      <w:pPr>
        <w:spacing w:before="60" w:after="80"/>
      </w:pPr>
      <w:r>
        <w:rPr>
          <w:rFonts w:ascii="Arial" w:cs="Arial" w:eastAsia="Arial" w:hAnsi="Arial"/>
          <w:color w:val="1A1A1A"/>
          <w:sz w:val="22"/>
          <w:szCs w:val="22"/>
        </w:rPr>
        <w:t xml:space="preserve">Most food truck ordinances require trucks to maintain 50 to 150 feet of distance from existing restaurants and their outdoor dining areas. In downtown Las Cruces, where the Hub is located, these distance requirements would make it practically impossible for any standalone food truck to legally set up customer seating nearby without conflicting with the Hub's own outdoor event areas or neighboring restaurant seating.</w:t>
      </w:r>
    </w:p>
    <w:p>
      <w:pPr>
        <w:spacing w:before="80" w:after="80"/>
      </w:pPr>
      <w:r>
        <w:t xml:space="preserve"/>
      </w:r>
    </w:p>
    <w:p>
      <w:pPr>
        <w:spacing w:before="220" w:after="80"/>
      </w:pPr>
      <w:r>
        <w:rPr>
          <w:rFonts w:ascii="Arial" w:cs="Arial" w:eastAsia="Arial" w:hAnsi="Arial"/>
          <w:b/>
          <w:bCs/>
          <w:color w:val="14746F"/>
          <w:sz w:val="24"/>
          <w:szCs w:val="24"/>
        </w:rPr>
        <w:t xml:space="preserve">Pattern 4: Public vs. Private Property Creates Fundamentally Different Permission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800"/>
        <w:gridCol w:w="18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Location Type</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Seating Permission</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Constraints</w:t>
            </w:r>
          </w:p>
        </w:tc>
        <w:tc>
          <w:tcPr>
            <w:tcW w:type="dxa" w:w="1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Applicable Permits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Public street / right-of-way</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Prohibited or severely restricted in most jurisdictions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Cannot obstruct pedestrian clear zone (min. 4-5 ft); ADA path requirements; no blocking fire hydrants or crosswalks</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Street vendor permit; public encroachment permit; often no seating allowed at all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Public park or plaza</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Rarely permitted; usually event-only</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park permit; often time-limited; may require restroom access plan</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Special event permit; temporary food establishment permit if outdoor service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Private parking lot (individual operator)</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Permitted in some jurisdictions with property owner consent and zoning approval</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must allow mobile vending; lot size minimums may apply; ADA surface requirements; trash management plan</w:t>
            </w:r>
          </w:p>
        </w:tc>
        <w:tc>
          <w:tcPr>
            <w:tcW w:type="dxa" w:w="1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Mobile vendor permit; zoning clearance; property owner agreement; may require site plan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Private property -- multiple trucks</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More commonly regulated as food truck park (see D.3)</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Triggers food truck park definitions in many codes once multiple trucks and seating are established</w:t>
            </w:r>
          </w:p>
        </w:tc>
        <w:tc>
          <w:tcPr>
            <w:tcW w:type="dxa" w:w="1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 park use permit; site plan review; permanent restroom requirements often triggered</w:t>
            </w:r>
          </w:p>
        </w:tc>
      </w:tr>
    </w:tbl>
    <w:p>
      <w:pPr>
        <w:spacing w:before="80" w:after="80"/>
      </w:pPr>
      <w:r>
        <w:t xml:space="preserve"/>
      </w:r>
    </w:p>
    <w:p>
      <w:pPr>
        <w:spacing w:before="220" w:after="80"/>
      </w:pPr>
      <w:r>
        <w:rPr>
          <w:rFonts w:ascii="Arial" w:cs="Arial" w:eastAsia="Arial" w:hAnsi="Arial"/>
          <w:b/>
          <w:bCs/>
          <w:color w:val="14746F"/>
          <w:sz w:val="24"/>
          <w:szCs w:val="24"/>
        </w:rPr>
        <w:t xml:space="preserve">Pattern 5: Restroom Access Is the Regulatory Trigger That Changes Everything</w:t>
      </w:r>
    </w:p>
    <w:p>
      <w:pPr>
        <w:spacing w:before="60" w:after="80"/>
      </w:pPr>
      <w:r>
        <w:rPr>
          <w:rFonts w:ascii="Arial" w:cs="Arial" w:eastAsia="Arial" w:hAnsi="Arial"/>
          <w:color w:val="1A1A1A"/>
          <w:sz w:val="22"/>
          <w:szCs w:val="22"/>
        </w:rPr>
        <w:t xml:space="preserve">Urban planning research consistently identifies restroom access as the single most significant operational constraint for food trucks with seating. As urban planner publications note, if food trucks are 'allowed to stand for many hours a day, the issue of restrooms for employees and customers should be addressed. If public restrooms are not available, there should be assurance that food truck employees have access to other facilities.' When seating is provided, the practical expectation of restroom access shifts from 'helpful' to 'effectively required' -- and providing permanent restroom facilities almost always triggers commercial building permit requirements that a mobile food vendor cannot satisfy.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D.3 Food Truck Parks -- A Fundamentally Different Regulatory Category</w:t>
      </w:r>
    </w:p>
    <w:p>
      <w:pPr>
        <w:spacing w:before="60" w:after="80"/>
      </w:pPr>
      <w:r>
        <w:rPr>
          <w:rFonts w:ascii="Arial" w:cs="Arial" w:eastAsia="Arial" w:hAnsi="Arial"/>
          <w:color w:val="1A1A1A"/>
          <w:sz w:val="22"/>
          <w:szCs w:val="22"/>
        </w:rPr>
        <w:t xml:space="preserve">A food truck park is legally and operationally distinct from a standalone food truck operation. Once an operator establishes a permanent or semi-permanent location with organized seating, sanitary facilities, and multiple vendor operations, most jurisdictions reclassify the operation from 'mobile food vendor' to 'food truck park' or 'outdoor food establishment' -- and an entirely different set of zoning, building, health, and safety regulations apply.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Defining Characteristic</w:t>
            </w:r>
          </w:p>
          <w:p>
            <w:pPr>
              <w:spacing w:before="40"/>
            </w:pPr>
            <w:r>
              <w:rPr>
                <w:rFonts w:ascii="Arial" w:cs="Arial" w:eastAsia="Arial" w:hAnsi="Arial"/>
                <w:color w:val="1A1A1A"/>
                <w:sz w:val="21"/>
                <w:szCs w:val="21"/>
              </w:rPr>
              <w:t xml:space="preserve">The key distinction is permanence and infrastructure. A food truck park is defined by permanent on-site seating, sanitary facilities, and organized amenities. Once these elements are present, the regulatory framework shifts from mobile food vendor codes toward commercial restaurant and outdoor dining codes.</w:t>
            </w:r>
          </w:p>
        </w:tc>
      </w:tr>
    </w:tbl>
    <w:p>
      <w:pPr>
        <w:spacing w:before="80" w:after="80"/>
      </w:pPr>
      <w:r>
        <w:t xml:space="preserve"/>
      </w:r>
    </w:p>
    <w:p>
      <w:pPr>
        <w:spacing w:before="220" w:after="80"/>
      </w:pPr>
      <w:r>
        <w:rPr>
          <w:rFonts w:ascii="Arial" w:cs="Arial" w:eastAsia="Arial" w:hAnsi="Arial"/>
          <w:b/>
          <w:bCs/>
          <w:color w:val="14746F"/>
          <w:sz w:val="24"/>
          <w:szCs w:val="24"/>
        </w:rPr>
        <w:t xml:space="preserve">Food Truck Park Seating Requirements -- National Standards</w:t>
      </w:r>
    </w:p>
    <w:p>
      <w:pPr>
        <w:spacing w:before="60" w:after="80"/>
      </w:pPr>
      <w:r>
        <w:rPr>
          <w:rFonts w:ascii="Arial" w:cs="Arial" w:eastAsia="Arial" w:hAnsi="Arial"/>
          <w:color w:val="1A1A1A"/>
          <w:sz w:val="22"/>
          <w:szCs w:val="22"/>
        </w:rPr>
        <w:t xml:space="preserve">Research into food truck park regulations from jurisdictions across the South and Southwest reveals consistent requirements that are highly relevant to Las Cruces given the regional regulatory culture: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Requirement Category</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Standard</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Example Jurisdiction</w:t>
            </w:r>
          </w:p>
        </w:tc>
        <w:tc>
          <w:tcPr>
            <w:tcW w:type="dxa" w:w="2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 NM Applicability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Minimum seating per vendor</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 seats per individual vendor, minimum; seating may be grouped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Campo, TX; Lee County, FL</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outdoor food vendor area in Dona Ana County would need to satisfy this minimum; shared seating areas satisfy the per-vendor requirement when grouped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Roofed / covered seating</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30% of total seating in covered structure per some codes; all structures must meet building and fire code</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Lee County, FL</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NM's extreme summer heat (100+ degrees) makes covered seating not just a regulatory question but a practical necessity; a 30% minimum covered seating standard is appropriate for Las Cruces climate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 surface requirements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seating area surfaces must be ADA accessible -- turf grass, pavement, or other improved hard surface; no unimproved dirt or gravel surfaces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Campo, TX; multiple national codes</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 surface requirements apply regardless of whether the seating is indoors or outdoors; for outdoor food truck park seating in Las Cruces, paved or compacted all-weather surface is required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setbacks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seating areas within required building setbacks of applicable zoning district; 10-foot minimum separation between food trucks; 20-foot separation between trucks and permanent structures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Campo, TX</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C-2 or mixed-use zoning setbacks apply; verify with City Planning before configuring any outdoor seating adjacent to permanent structures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restroom facilities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for food truck parks with on-site seating; number scaled to maximum occupancy</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National building code consensus</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This is the most significant compliance item: outdoor food truck seating with more than nominal capacity triggers permanent restroom requirements, which require building permits and plumbing connections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Fire lane access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Trucks must remain outside fire lanes; 3-foot minimum from fire hydrants; no obstruction of fire department connections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Campo, TX; NFPA standards</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Fire Dept. jurisdiction; 3-foot hydrant clearance is a standard requirement statewide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Lighting</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On-site lighting required in accordance with exterior lighting standards; string lights permitted with warm/colored light specification</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Campo, TX</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outdoor event lighting requirements apply; City may require photometric plan for permanent outdoor dining areas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Waste management</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vendor provides customer-accessible trash receptacles; litter control within 20 feet of each truck</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Standard across most codes</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Dona Ana County solid waste regulations apply; grease disposal plan required separate from general trash</w:t>
            </w:r>
          </w:p>
        </w:tc>
      </w:tr>
    </w:tbl>
    <w:p>
      <w:pPr>
        <w:spacing w:before="80" w:after="80"/>
      </w:pPr>
      <w:r>
        <w:t xml:space="preserve"/>
      </w:r>
    </w:p>
    <w:p>
      <w:pPr>
        <w:spacing w:before="220" w:after="80"/>
      </w:pPr>
      <w:r>
        <w:rPr>
          <w:rFonts w:ascii="Arial" w:cs="Arial" w:eastAsia="Arial" w:hAnsi="Arial"/>
          <w:b/>
          <w:bCs/>
          <w:color w:val="14746F"/>
          <w:sz w:val="24"/>
          <w:szCs w:val="24"/>
        </w:rPr>
        <w:t xml:space="preserve">Zoning Classification for Food Truck Parks</w:t>
      </w:r>
    </w:p>
    <w:p>
      <w:pPr>
        <w:spacing w:before="60" w:after="80"/>
      </w:pPr>
      <w:r>
        <w:rPr>
          <w:rFonts w:ascii="Arial" w:cs="Arial" w:eastAsia="Arial" w:hAnsi="Arial"/>
          <w:color w:val="1A1A1A"/>
          <w:sz w:val="22"/>
          <w:szCs w:val="22"/>
        </w:rPr>
        <w:t xml:space="preserve">Food truck parks are typically regulated as a distinct land use category in zoning codes -- neither 'restaurant' nor 'mobile food vendor' but a hybrid requiring its own use permit. Key zoning considerations relevant to Las Cruces include:</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Food truck parks are typically allowed by right or special exception in commercial and mixed-use zones -- consistent with the C-2 or equivalent zoning where the Hub operates</w:t>
      </w:r>
    </w:p>
    <w:p>
      <w:pPr>
        <w:pStyle w:val="ListParagraph"/>
        <w:numPr>
          <w:ilvl w:val="0"/>
          <w:numId w:val="2"/>
        </w:numPr>
        <w:spacing w:before="40" w:after="40"/>
      </w:pPr>
      <w:r>
        <w:rPr>
          <w:rFonts w:ascii="Arial" w:cs="Arial" w:eastAsia="Arial" w:hAnsi="Arial"/>
          <w:color w:val="1A1A1A"/>
          <w:sz w:val="22"/>
          <w:szCs w:val="22"/>
        </w:rPr>
        <w:t xml:space="preserve">Residential adjacency buffers are common: food truck parks adjacent to residential zones typically require landscaping buffers and have noise and hours-of-operation restrictions</w:t>
      </w:r>
    </w:p>
    <w:p>
      <w:pPr>
        <w:pStyle w:val="ListParagraph"/>
        <w:numPr>
          <w:ilvl w:val="0"/>
          <w:numId w:val="2"/>
        </w:numPr>
        <w:spacing w:before="40" w:after="40"/>
      </w:pPr>
      <w:r>
        <w:rPr>
          <w:rFonts w:ascii="Arial" w:cs="Arial" w:eastAsia="Arial" w:hAnsi="Arial"/>
          <w:color w:val="1A1A1A"/>
          <w:sz w:val="22"/>
          <w:szCs w:val="22"/>
        </w:rPr>
        <w:t xml:space="preserve">Many codes require a detailed site plan showing vendor locations, seating areas, dumpster placement, service vehicle access, fire lane locations, and ADA paths before a food truck park use permit is issued</w:t>
      </w:r>
    </w:p>
    <w:p>
      <w:pPr>
        <w:pStyle w:val="ListParagraph"/>
        <w:numPr>
          <w:ilvl w:val="0"/>
          <w:numId w:val="2"/>
        </w:numPr>
        <w:spacing w:before="40" w:after="40"/>
      </w:pPr>
      <w:r>
        <w:rPr>
          <w:rFonts w:ascii="Arial" w:cs="Arial" w:eastAsia="Arial" w:hAnsi="Arial"/>
          <w:color w:val="1A1A1A"/>
          <w:sz w:val="22"/>
          <w:szCs w:val="22"/>
        </w:rPr>
        <w:t xml:space="preserve">Las Cruces adopted a new 'Realize Las Cruces' character-based zoning code passed February 2025 -- the first major zoning overhaul in 25 years. The new code organizes all parcels by character (Rural, Suburban, Urban) and zoning district (NH-1 residential, NH-2 mixed residential/commercial, NH-3 transitional retail/office/housing, Commercial Retail, Mixed-Use Overlay, Town Centers). Food hall/restaurant use is permitted in Commercial Retail zones and available in varying degrees in NH-3, Mixed-Use, and Town Center designations. The downtown Urban Character Area eliminates most parking minimums -- a significant cost advantage. This new code should be reviewed specifically for food truck park definitions and outdoor dining regulations before any outdoor food truck seating is planned</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D.4 ADA Requirements for Food Truck Seating Areas</w:t>
      </w:r>
    </w:p>
    <w:p>
      <w:pPr>
        <w:spacing w:before="60" w:after="80"/>
      </w:pPr>
      <w:r>
        <w:rPr>
          <w:rFonts w:ascii="Arial" w:cs="Arial" w:eastAsia="Arial" w:hAnsi="Arial"/>
          <w:color w:val="1A1A1A"/>
          <w:sz w:val="22"/>
          <w:szCs w:val="22"/>
        </w:rPr>
        <w:t xml:space="preserve">The Americans with Disabilities Act (ADA) applies to any public dining area regardless of whether it is associated with a mobile vendor, a food truck park, or a fixed restaurant. When customer seating is provided in any context -- even outdoors adjacent to a food truck -- ADA accessibility requirements are triggered.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ADA Requirement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Standard</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Application to Food Truck Seating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Accessible seating percentage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Minimum 5% of total seating must be wheelchair accessible; minimum one accessible table required even if total seating is very small</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food truck or food truck park with customer seating must provide at least one ADA-compliant table; more as seating grows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Table height and clearance</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28-34 inches high; 27+ inches of knee clearance; 19+ inches under-table knee clearance depth; labeled as accessible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Applies to outdoor seating tables at food trucks and food truck parks; standard folding and picnic table designs often fail this requirement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Accessible route to seating</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 continuous, firm, slip-resistant accessible route must connect accessible parking, the public sidewalk, and the accessible seating area</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Outdoor food truck seating on dirt, gravel, or uneven grass surfaces fails ADA; paved or compacted all-weather surface required on the accessible path</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Pedestrian clear zone</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4-foot (5-foot preferred) clear pedestrian path must remain unobstructed on any adjacent sidewalk; outdoor seating cannot encroach on this zone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trucks on sidewalks or adjacent to sidewalks must not place seating in a way that narrows the pedestrian clear zone below the minimum</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Cane detection (if fenced)</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fencing or barriers around outdoor seating must be cane-detectable for visually impaired pedestrians; barrier at 27 inches or below at base</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Applies when rope, fence, or planters are used to define an outdoor seating area around a food truck or within a food truck park</w:t>
            </w:r>
          </w:p>
        </w:tc>
      </w:tr>
    </w:tbl>
    <w:p>
      <w:pPr>
        <w:spacing w:before="80" w:after="80"/>
      </w:pPr>
      <w:r>
        <w:t xml:space="preserve"/>
      </w:r>
    </w:p>
    <w:p>
      <w:pPr>
        <w:spacing w:before="60" w:after="80"/>
      </w:pPr>
      <w:r>
        <w:rPr>
          <w:rFonts w:ascii="Arial" w:cs="Arial" w:eastAsia="Arial" w:hAnsi="Arial"/>
          <w:color w:val="1A1A1A"/>
          <w:sz w:val="22"/>
          <w:szCs w:val="22"/>
        </w:rPr>
        <w:t xml:space="preserve">Practically speaking, most standalone food trucks serving customers on public sidewalks or small private lots cannot meet full ADA seating requirements without significant infrastructure investment -- which is part of why many jurisdictions simply prohibit food truck seating rather than require the costly compliance. Food truck parks, by contrast, are designed with permanent infrastructure and can be planned to meet ADA requirements from the outset through proper site design.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D.5 Health Department Requirements for Outdoor Seating</w:t>
      </w:r>
    </w:p>
    <w:p>
      <w:pPr>
        <w:spacing w:before="60" w:after="80"/>
      </w:pPr>
      <w:r>
        <w:rPr>
          <w:rFonts w:ascii="Arial" w:cs="Arial" w:eastAsia="Arial" w:hAnsi="Arial"/>
          <w:color w:val="1A1A1A"/>
          <w:sz w:val="22"/>
          <w:szCs w:val="22"/>
        </w:rPr>
        <w:t xml:space="preserve">When food truck seating transitions from 'nowhere to sit while you eat your food' to an organized outdoor dining area, health department oversight expands significantly. The NM Environment Department's food program requirements, while primarily focused on the food preparation unit itself, interact with outdoor seating in several important ways.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Health Requirement</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Standalone Food Truck</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Food Truck Park (Organized Seating)</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NMED Permit Scope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Covers the mobile unit only; all operations within the truck's enclosure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Each vendor's mobile unit is still separately permitted; the park's common areas and sanitary facilities require their own inspection and compliance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Outdoor Serving Counter</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additional temporary food establishment permit each time (7.6.2.9(G))</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Fixed serving counters at a food truck park may qualify as permanent food establishment infrastructure requiring a standard food establishment permit rather than repeated temporary permits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Single-Service Articles Requirement</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only disposable cups, plates, utensils for consumers (7.6.2.9(H))</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park common areas can provide reusable dishware if the park has a licensed dishwashing and food establishment permit covering those operations -- the mobile vendor's unit still must use single-service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Waste Water Disposal</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trucks must return to servicing area for wastewater disposal; gray water cannot be dumped on public or private property</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 parks typically have permanent grease trap connections and plumbing for gray water -- a significant infrastructure investment that makes permanent parks operationally superior for higher-volume operations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Pest and Vector Control</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must clean within 5 feet of its location; limited scope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parks' organized seating areas must be maintained as pest-free zones; dumpster placement and regular professional pest control are standard requirements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Restroom Requirement</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patron restroom required for mobile vendor; employee restroom access required</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Patron restrooms are effectively required at any food truck park with organized seating that operates for extended hours; these must meet standard plumbing code and ADA requirements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D.6 Direct Comparison -- Standalone Food Truck Seating vs. Food Truck Park vs. Indoor Food Hall</w:t>
      </w:r>
    </w:p>
    <w:p>
      <w:pPr>
        <w:spacing w:before="60" w:after="80"/>
      </w:pPr>
      <w:r>
        <w:rPr>
          <w:rFonts w:ascii="Arial" w:cs="Arial" w:eastAsia="Arial" w:hAnsi="Arial"/>
          <w:color w:val="1A1A1A"/>
          <w:sz w:val="22"/>
          <w:szCs w:val="22"/>
        </w:rPr>
        <w:t xml:space="preserve">This comparison table synthesizes the full regulatory picture and directly illustrates why the Hub's indoor, fixed, fully permitted food hall model is operationally, legally, and practically superior to either a standalone food truck or an outdoor food truck park for the Las Cruces market.</w:t>
      </w:r>
    </w:p>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800"/>
        <w:gridCol w:w="2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Factor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Standalone Food Truck</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Outdoor Food Truck Park</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Culinary Innovation Hub (Indoor Food Hall)</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 Seating -- Legal Status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Prohibited in many jurisdictions; restricted to large private lots in others; no seating at all in NM mobile unit enclosure rule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Permitted with site plan approval, ADA compliance, and appropriate zoning use permit; requires permanent infrastructure investment</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Fully permitted as part of fixed food establishment; 60-80 seats in ADA-compliant indoor dining area with no additional permit beyond food establishment permit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Seating Infrastructure Cost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(no seating) to high (ADA site work, paving, covered structures, restrooms)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upfront: paving, covered structures, permanent restrooms, ADA paths, lighting, site plan</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Built into buildout cost; included in Hub infrastructure; vendors share no seating cost burden individually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Weather Protection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 -- customers eat outdoors in all conditions (Las Cruces: 100+ degree summers, monsoon rain, winter cold)</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Partial: covered seating required (30% minimum per some codes) but largely outdoor; Las Cruces summer heat makes outdoor-only seating commercially limiting</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indoor, climate-controlled, 365-day operation; zero weather impact on customer experience or revenue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ADA Compliance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Difficult to achieve on sidewalk or small lots; pedestrian clear zone constraints; accessible route from parking challenging</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Achievable with proper site design; paved surfaces, designated accessible parking, accessible route from entry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Fully ADA-compliant indoor facility; accessible restrooms, seating, pathways, and service areas included in buildout design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Restroom Access for Customers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Typically none provided; customers must find public facilities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at organized food truck parks with seating; permanent plumbing connection needed</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ADA-compliant customer restrooms included in facility; standard food establishment requirement met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Health Permit Structure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Single mobile unit permit per truck; outdoor operations require temporary permits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Multiple mobile unit permits (one per vendor) plus park-level permits for common areas and sanitary facilities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Single food establishment permit per stall; no temporary permits needed for ongoing operations; streamlined compliance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Zoning Classification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Mobile vendor permit; may be restricted by distance rules from existing restaurants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truck park use permit; typically requires C-2 or commercial zoning; site plan review required</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Fixed food establishment in C-2 or mixed-use zone; standard commercial food service use; no proximity restrictions to other restaurants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Revenue from Seating Areas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 no seating means no dwell time, no beverage upsell, no extended visits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Moderate: outdoor seating increases dwell time; limited by weather; evening revenue limited without weather protection</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Maximum: indoor seating drives full beverage program revenue, event programming, Cider Club engagement, and extended visit patterns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 Alcohol Service with Seating</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Extremely difficult; NM food trucks generally cannot obtain full liquor licenses; no seating infrastructure to support bar operations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Possible with proper zoning and liquor license, but outdoor format limits beverage program sophistication</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Dispenser's Liquor License supporting 20-25 tap cider bar; indoor setting enables proper temperature control, glassware service, and event programming</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Summer Viability</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Very low June-September (100+ degrees; outdoor eating intolerable)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to moderate; shaded structures help but heat is still deterrent for customers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climate-controlled year-round; peak summer months are no different from October; consistent revenue regardless of outdoor conditions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D.7 Implications for the Hub -- Commissary Kitchen and Food Truck Program</w:t>
      </w:r>
    </w:p>
    <w:p>
      <w:pPr>
        <w:spacing w:before="60" w:after="80"/>
      </w:pPr>
      <w:r>
        <w:rPr>
          <w:rFonts w:ascii="Arial" w:cs="Arial" w:eastAsia="Arial" w:hAnsi="Arial"/>
          <w:color w:val="1A1A1A"/>
          <w:sz w:val="22"/>
          <w:szCs w:val="22"/>
        </w:rPr>
        <w:t xml:space="preserve">The Hub's shared commissary kitchen serves food truck operators as their required NM servicing area. Understanding the seating regulatory landscape clarifies both the Hub's obligations and the competitive value it provides to these clients.</w:t>
      </w:r>
    </w:p>
    <w:p>
      <w:pPr>
        <w:spacing w:before="80" w:after="80"/>
      </w:pPr>
      <w:r>
        <w:t xml:space="preserve"/>
      </w:r>
    </w:p>
    <w:p>
      <w:pPr>
        <w:spacing w:before="220" w:after="80"/>
      </w:pPr>
      <w:r>
        <w:rPr>
          <w:rFonts w:ascii="Arial" w:cs="Arial" w:eastAsia="Arial" w:hAnsi="Arial"/>
          <w:b/>
          <w:bCs/>
          <w:color w:val="14746F"/>
          <w:sz w:val="24"/>
          <w:szCs w:val="24"/>
        </w:rPr>
        <w:t xml:space="preserve">Commissary Kitchen as Regulatory Backbone for Food Truck Operators</w:t>
      </w:r>
    </w:p>
    <w:p>
      <w:pPr>
        <w:pStyle w:val="ListParagraph"/>
        <w:numPr>
          <w:ilvl w:val="0"/>
          <w:numId w:val="2"/>
        </w:numPr>
        <w:spacing w:before="40" w:after="40"/>
      </w:pPr>
      <w:r>
        <w:rPr>
          <w:rFonts w:ascii="Arial" w:cs="Arial" w:eastAsia="Arial" w:hAnsi="Arial"/>
          <w:color w:val="1A1A1A"/>
          <w:sz w:val="22"/>
          <w:szCs w:val="22"/>
        </w:rPr>
        <w:t xml:space="preserve">The Hub's commissary kitchen, when serving as a food truck's servicing area, must maintain its own current NMED food establishment permit at all times</w:t>
      </w:r>
    </w:p>
    <w:p>
      <w:pPr>
        <w:pStyle w:val="ListParagraph"/>
        <w:numPr>
          <w:ilvl w:val="0"/>
          <w:numId w:val="2"/>
        </w:numPr>
        <w:spacing w:before="40" w:after="40"/>
      </w:pPr>
      <w:r>
        <w:rPr>
          <w:rFonts w:ascii="Arial" w:cs="Arial" w:eastAsia="Arial" w:hAnsi="Arial"/>
          <w:color w:val="1A1A1A"/>
          <w:sz w:val="22"/>
          <w:szCs w:val="22"/>
        </w:rPr>
        <w:t xml:space="preserve">Each food truck client must have a formal, documented servicing area agreement with the Hub specifying days, hours, and support services -- as required by 7.6.2.9(J) NMAC</w:t>
      </w:r>
    </w:p>
    <w:p>
      <w:pPr>
        <w:pStyle w:val="ListParagraph"/>
        <w:numPr>
          <w:ilvl w:val="0"/>
          <w:numId w:val="2"/>
        </w:numPr>
        <w:spacing w:before="40" w:after="40"/>
      </w:pPr>
      <w:r>
        <w:rPr>
          <w:rFonts w:ascii="Arial" w:cs="Arial" w:eastAsia="Arial" w:hAnsi="Arial"/>
          <w:color w:val="1A1A1A"/>
          <w:sz w:val="22"/>
          <w:szCs w:val="22"/>
        </w:rPr>
        <w:t xml:space="preserve">If a food truck client discontinues use of the Hub as their servicing area, the Hub must receive written notice and the truck's NMED permit becomes suspended until a new servicing area is approved</w:t>
      </w:r>
    </w:p>
    <w:p>
      <w:pPr>
        <w:pStyle w:val="ListParagraph"/>
        <w:numPr>
          <w:ilvl w:val="0"/>
          <w:numId w:val="2"/>
        </w:numPr>
        <w:spacing w:before="40" w:after="40"/>
      </w:pPr>
      <w:r>
        <w:rPr>
          <w:rFonts w:ascii="Arial" w:cs="Arial" w:eastAsia="Arial" w:hAnsi="Arial"/>
          <w:color w:val="1A1A1A"/>
          <w:sz w:val="22"/>
          <w:szCs w:val="22"/>
        </w:rPr>
        <w:t xml:space="preserve">The Hub should maintain standardized servicing area agreement templates for all food truck commissary clients, with automatic renewal provisions and clear termination notice requirements</w:t>
      </w:r>
    </w:p>
    <w:p>
      <w:pPr>
        <w:spacing w:before="80" w:after="80"/>
      </w:pPr>
      <w:r>
        <w:t xml:space="preserve"/>
      </w:r>
    </w:p>
    <w:p>
      <w:pPr>
        <w:spacing w:before="220" w:after="80"/>
      </w:pPr>
      <w:r>
        <w:rPr>
          <w:rFonts w:ascii="Arial" w:cs="Arial" w:eastAsia="Arial" w:hAnsi="Arial"/>
          <w:b/>
          <w:bCs/>
          <w:color w:val="14746F"/>
          <w:sz w:val="24"/>
          <w:szCs w:val="24"/>
        </w:rPr>
        <w:t xml:space="preserve">Why the Hub's Indoor Format Reinforces Its Competitive Position Over Food Trucks</w:t>
      </w:r>
    </w:p>
    <w:p>
      <w:pPr>
        <w:spacing w:before="60" w:after="80"/>
      </w:pPr>
      <w:r>
        <w:rPr>
          <w:rFonts w:ascii="Arial" w:cs="Arial" w:eastAsia="Arial" w:hAnsi="Arial"/>
          <w:color w:val="1A1A1A"/>
          <w:sz w:val="22"/>
          <w:szCs w:val="22"/>
        </w:rPr>
        <w:t xml:space="preserve">The regulatory complexity and infrastructure cost of providing seating for food trucks -- whether standalone or in a park format -- directly validates the Hub's strategic positioning. Every limitation that makes outdoor food truck seating operationally difficult (weather, ADA compliance, restroom requirements, temporary permit cycles, zoning restrictions) is a problem the Hub eliminates entirely through its indoor, fixed, fully permitted food hall model.</w:t>
      </w:r>
    </w:p>
    <w:p>
      <w:pPr>
        <w:spacing w:before="80" w:after="80"/>
      </w:pPr>
      <w:r>
        <w:t xml:space="preserve"/>
      </w:r>
    </w:p>
    <w:p>
      <w:pPr>
        <w:spacing w:before="60" w:after="80"/>
      </w:pPr>
      <w:r>
        <w:rPr>
          <w:rFonts w:ascii="Arial" w:cs="Arial" w:eastAsia="Arial" w:hAnsi="Arial"/>
          <w:color w:val="1A1A1A"/>
          <w:sz w:val="22"/>
          <w:szCs w:val="22"/>
        </w:rPr>
        <w:t xml:space="preserve">For the Las Cruces market specifically, the 100+ degree summer heat from June through September makes outdoor food truck seating commercially unviable for most of the year's highest-revenue months. A food truck park in Las Cruces without significant shade and cooling infrastructure would lose substantial revenue from June through September -- exactly the period when event revenue, tourist traffic, and NMSU back-to-school activity are at seasonal peaks.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Strategic Conclusion</w:t>
            </w:r>
          </w:p>
          <w:p>
            <w:pPr>
              <w:spacing w:before="40"/>
            </w:pPr>
            <w:r>
              <w:rPr>
                <w:rFonts w:ascii="Arial" w:cs="Arial" w:eastAsia="Arial" w:hAnsi="Arial"/>
                <w:color w:val="1A1A1A"/>
                <w:sz w:val="21"/>
                <w:szCs w:val="21"/>
              </w:rPr>
              <w:t xml:space="preserve">The Las Cruces Culinary Innovation Hub's indoor, climate-controlled, 60-80 seat dining area is not simply a comfort amenity -- it is a strategic and regulatory necessity. The regulatory complexity, infrastructure cost, ADA requirements, restroom obligations, and weather vulnerability of outdoor food truck seating make the Hub's format the only commercially viable path to a year-round culinary destination in Las Cruces's desert climate. Every limitation documented in this appendix is a problem the Hub was specifically designed to solve.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D.8 Summary Regulatory Checklist -- Hub Commissary Kitchen and Food Truck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00"/>
        <w:gridCol w:w="1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Requirement</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Action Required</w:t>
            </w:r>
          </w:p>
        </w:tc>
        <w:tc>
          <w:tcPr>
            <w:tcW w:type="dxa" w:w="1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Commissary NMED Permit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commissary kitchen must hold its own current NMED Retail Food Establishment Permit independent of vendor stall permits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Maintain separate commissary kitchen permit; renew annually; notify NMED of any operational changes to commissary area</w:t>
            </w:r>
          </w:p>
        </w:tc>
        <w:tc>
          <w:tcPr>
            <w:tcW w:type="dxa" w:w="1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Before first food truck client; annually thereafter</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Servicing Area Agreements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food truck client requires documented agreement per 7.6.2.9(J) NMAC specifying days, hours, and support services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Prepare standardized servicing area agreement template; execute with each food truck commissary client; update upon any changes</w:t>
            </w:r>
          </w:p>
        </w:tc>
        <w:tc>
          <w:tcPr>
            <w:tcW w:type="dxa" w:w="1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any food truck begins using Hub commissary as their servicing area</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Temporary Food Establishment Permit (Event)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Hub hosts outdoor events where food truck-style service extends beyond the indoor area, additional NMED temporary permit required</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 any outdoor service component at Hub events, apply for NMED temporary food establishment permit at least 30 days in advance</w:t>
            </w:r>
          </w:p>
        </w:tc>
        <w:tc>
          <w:tcPr>
            <w:tcW w:type="dxa" w:w="1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 event -- 30 days advance minimum per NMED 7.6.2.8 requirements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ADA Outdoor Compliance (if any outdoor seating added)</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Any future outdoor seating additions require ADA-compliant surfaces, accessible route, and 5% minimum accessible seating</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outdoor event seating is added seasonally, conduct ADA compliance review before setup; maintain pedestrian clear zone</w:t>
            </w:r>
          </w:p>
        </w:tc>
        <w:tc>
          <w:tcPr>
            <w:tcW w:type="dxa" w:w="1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Before any outdoor seating is established; review with City of Las Cruces Community Development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Realize 2025 Code Review</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development code adopted February 2025; food truck and outdoor dining definitions may have been updated</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Schedule meeting with City Planning to confirm how 'Realize Las Cruces' code defines food truck park vs. food hall vs. outdoor dining; confirm Hub's zoning compliance under new code</w:t>
            </w:r>
          </w:p>
        </w:tc>
        <w:tc>
          <w:tcPr>
            <w:tcW w:type="dxa" w:w="1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 Month 1-2 (concurrent with site lease and zoning clearance verification)</w:t>
            </w:r>
          </w:p>
        </w:tc>
      </w:tr>
    </w:tbl>
    <w:p>
      <w:pPr>
        <w:spacing w:before="80" w:after="80"/>
      </w:pPr>
      <w:r>
        <w:t xml:space="preserve"/>
      </w:r>
    </w:p>
    <w:p>
      <w:pPr>
        <w:spacing w:before="60" w:after="80"/>
      </w:pPr>
      <w:r>
        <w:rPr>
          <w:rFonts w:ascii="Arial" w:cs="Arial" w:eastAsia="Arial" w:hAnsi="Arial"/>
          <w:i/>
          <w:iCs/>
          <w:color w:val="555555"/>
          <w:sz w:val="20"/>
          <w:szCs w:val="20"/>
        </w:rPr>
        <w:t xml:space="preserve">Sources: NM Admin. Code 7.6.2.9 (NMED Mobile Food Establishment Requirements); NM Admin. Code 7.6.2.8 (NMED Food Establishment Requirements); NMED Food Program Retail and Manufactured Food Field Guide (2019); Lee County FL Food Truck Park Amendment; El Campo TX Food Truck Park Regulations; Town of Cary NC Food Truck Ordinance; City of Raleigh NC Food Truck Regulations; City of Las Cruces 'Realize Las Cruces' Development Code (February 2025); PlannersWeb Food Truck Regulatory Analysis; MRSC Food Truck Regulation Guide (2025); ADA Title III Requirements for Outdoor Dining Areas.</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Appendix E: The City Commercial Kitchen -- Competitive Landscape Analysis and Strategic Response</w:t>
      </w:r>
    </w:p>
    <w:p>
      <w:pPr>
        <w:spacing w:before="60" w:after="80"/>
      </w:pPr>
      <w:r>
        <w:rPr>
          <w:rFonts w:ascii="Arial" w:cs="Arial" w:eastAsia="Arial" w:hAnsi="Arial"/>
          <w:color w:val="1A1A1A"/>
          <w:sz w:val="22"/>
          <w:szCs w:val="22"/>
        </w:rPr>
        <w:t xml:space="preserve">This appendix directly addresses the emerging competitive landscape created by the City of Las Cruces's plans to open a commercial kitchen, as well as the existing El Calvario Commercial Kitchen Incubator already operating in downtown Las Cruces. Understanding both developments is essential to refining the Hub's positioning, identifying genuine threats, and -- more importantly -- identifying the significant opportunities this landscape creates for partnership, differentiation, and market capture.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Strategic Frame</w:t>
            </w:r>
          </w:p>
          <w:p>
            <w:pPr>
              <w:spacing w:before="40"/>
            </w:pPr>
            <w:r>
              <w:rPr>
                <w:rFonts w:ascii="Arial" w:cs="Arial" w:eastAsia="Arial" w:hAnsi="Arial"/>
                <w:color w:val="1A1A1A"/>
                <w:sz w:val="21"/>
                <w:szCs w:val="21"/>
              </w:rPr>
              <w:t xml:space="preserve">The city opening a commercial kitchen is simultaneously a competitive challenge and a strong validating signal. It confirms that civic and philanthropic leaders in Las Cruces see genuine market demand for food entrepreneurship infrastructure. The question is not whether the Hub can survive alongside it -- the Hub's model is fundamentally different. The question is how to position the two as complementary while ensuring the Hub occupies the specific niche that a city-operated facility cannot.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E.1 What Already Exists: El Calvario Commercial Kitchen Incubator</w:t>
      </w:r>
    </w:p>
    <w:p>
      <w:pPr>
        <w:spacing w:before="60" w:after="80"/>
      </w:pPr>
      <w:r>
        <w:rPr>
          <w:rFonts w:ascii="Arial" w:cs="Arial" w:eastAsia="Arial" w:hAnsi="Arial"/>
          <w:color w:val="1A1A1A"/>
          <w:sz w:val="22"/>
          <w:szCs w:val="22"/>
        </w:rPr>
        <w:t xml:space="preserve">Before addressing the city's planned commercial kitchen, it is important to understand the facility that already exists in Las Cruces. El Calvario United Methodist Church, located at the intersection of the Las Cruces Downtown Arts and Cultural District and the Mesquite Historic District, operates the El Calvario Commercial Kitchen Incubator -- which describes itself as the only 24/7 accessible nonprofit commercial kitchen in southwestern New Mexico.</w:t>
      </w:r>
    </w:p>
    <w:p>
      <w:pPr>
        <w:spacing w:before="80" w:after="80"/>
      </w:pPr>
      <w:r>
        <w:t xml:space="preserve"/>
      </w:r>
    </w:p>
    <w:p>
      <w:pPr>
        <w:spacing w:before="220" w:after="80"/>
      </w:pPr>
      <w:r>
        <w:rPr>
          <w:rFonts w:ascii="Arial" w:cs="Arial" w:eastAsia="Arial" w:hAnsi="Arial"/>
          <w:b/>
          <w:bCs/>
          <w:color w:val="14746F"/>
          <w:sz w:val="24"/>
          <w:szCs w:val="24"/>
        </w:rPr>
        <w:t xml:space="preserve">El Calvario: What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Factor</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El Calvario Commercial Kitchen Incubator</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Operator</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Calvario United Methodist Church -- Immigrant Advocacy Center (nonprofit; part of the Gastro Emprende Food Hub)</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Mission</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Serving underserved populations; immigrants; people at or below 200% of Federal Poverty Guidelines; food entrepreneurs in early stages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Capacity</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 to 15 businesses at a time with staggered availability; clients rotate as they graduate from the program</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Cost Structure</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$635/month (subsidized) for the incubation program fee, plus hourly or monthly use of kitchen areas, equipment, and storage; additional subsidy available for low-income clients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Services Offered</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kitchen access; product marketing and distribution support; business and food consultation; freeze-dry program for farmer produce value-added processing</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Recent Development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Received $383,000+ from the USDA Resilient Food Systems Infrastructure federal grant (announced November 2025) to expand space; renovation expected to complete within 6 months of announcement, meaning expanded capacity by mid-2026</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Location</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 same general area as the Hub's target footprint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Distinction</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Nonprofit; heavily subsidized; mission-focused on underserved populations; primarily a shared-time kitchen (not dedicated stalls); focused on product development, not food hall or restaurant operation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Important Timing Note</w:t>
            </w:r>
          </w:p>
          <w:p>
            <w:pPr>
              <w:spacing w:before="40"/>
            </w:pPr>
            <w:r>
              <w:rPr>
                <w:rFonts w:ascii="Arial" w:cs="Arial" w:eastAsia="Arial" w:hAnsi="Arial"/>
                <w:color w:val="1A1A1A"/>
                <w:sz w:val="21"/>
                <w:szCs w:val="21"/>
              </w:rPr>
              <w:t xml:space="preserve">El Calvario's $383,000 federal expansion is expected to complete by December 2026 -- the same window as the Hub's Grand Opening. This means the Las Cruces commercial kitchen landscape will have two new or expanded facilities launching within months of each other. This is not a problem; it is a confirmation that the market has reached critical mass. But it means the Hub's differentiation strategy must be sharp and clearly communicated from Day 1.</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E.2 The City's Planned Commercial Kitchen: What We Know</w:t>
      </w:r>
    </w:p>
    <w:p>
      <w:pPr>
        <w:spacing w:before="60" w:after="80"/>
      </w:pPr>
      <w:r>
        <w:rPr>
          <w:rFonts w:ascii="Arial" w:cs="Arial" w:eastAsia="Arial" w:hAnsi="Arial"/>
          <w:color w:val="1A1A1A"/>
          <w:sz w:val="22"/>
          <w:szCs w:val="22"/>
        </w:rPr>
        <w:t xml:space="preserve">The City of Las Cruces is planning to construct and open a brand-new, purpose-built commercial kitchen facility -- not a renovation of existing space but a newly built structure -- designed specifically to support local food entrepreneurs. The facility is expected to provide access to professional-grade equipment, offer educational workshops and business development resources, attract food-related businesses, and serve as a hub for culinary innovation and economic development in Las Cruces. City leadership has framed this initiative as a direct investment in the food sector, recognizing that food innovation is already underway in Las Cruces and that providing dedicated infrastructure will accelerate and formalize it.</w:t>
      </w:r>
    </w:p>
    <w:p>
      <w:pPr>
        <w:spacing w:before="80" w:after="80"/>
      </w:pPr>
      <w:r>
        <w:t xml:space="preserve"/>
      </w:r>
    </w:p>
    <w:p>
      <w:pPr>
        <w:spacing w:before="60" w:after="80"/>
      </w:pPr>
      <w:r>
        <w:rPr>
          <w:rFonts w:ascii="Arial" w:cs="Arial" w:eastAsia="Arial" w:hAnsi="Arial"/>
          <w:color w:val="1A1A1A"/>
          <w:sz w:val="22"/>
          <w:szCs w:val="22"/>
        </w:rPr>
        <w:t xml:space="preserve">Key point: the city's planned facility is a new construction project -- a purpose-built commercial kitchen -- rather than a renovation or lease of existing space. This is a significant investment signal. New construction means the facility will be designed to modern commercial kitchen standards from the ground up, likely with capacity that exceeds what El Calvario's leased and renovated space can offer. Specific details -- site, square footage, operational model, pricing structure, timeline, and managing entity -- are emerging and should be confirmed directly with the Las Cruces Economic Development Department (575-541-2425 or economicdev@las-cruces.org) as early as possible in Phase 1.</w:t>
      </w:r>
    </w:p>
    <w:p>
      <w:pPr>
        <w:spacing w:before="80" w:after="80"/>
      </w:pPr>
      <w:r>
        <w:t xml:space="preserve"/>
      </w:r>
    </w:p>
    <w:p>
      <w:pPr>
        <w:spacing w:before="220" w:after="80"/>
      </w:pPr>
      <w:r>
        <w:rPr>
          <w:rFonts w:ascii="Arial" w:cs="Arial" w:eastAsia="Arial" w:hAnsi="Arial"/>
          <w:b/>
          <w:bCs/>
          <w:color w:val="14746F"/>
          <w:sz w:val="24"/>
          <w:szCs w:val="24"/>
        </w:rPr>
        <w:t xml:space="preserve">The New-Build Significance</w:t>
      </w:r>
    </w:p>
    <w:p>
      <w:pPr>
        <w:spacing w:before="60" w:after="80"/>
      </w:pPr>
      <w:r>
        <w:rPr>
          <w:rFonts w:ascii="Arial" w:cs="Arial" w:eastAsia="Arial" w:hAnsi="Arial"/>
          <w:color w:val="1A1A1A"/>
          <w:sz w:val="22"/>
          <w:szCs w:val="22"/>
        </w:rPr>
        <w:t xml:space="preserve">The distinction between the city's plan and El Calvario's expansion is important: El Calvario is renovating and expanding leased space. The city is building a new facility from the ground up. New construction of a purpose-built commercial kitchen represents a larger capital commitment, a longer development timeline (typically 18-36 months from planning to opening for a municipal new-build project), and a facility designed with current commercial kitchen standards rather than adapted from a prior use. It also signals a stronger and longer-term institutional commitment to food entrepreneurship infrastructure than a leased space renovation would.</w:t>
      </w:r>
    </w:p>
    <w:p>
      <w:pPr>
        <w:spacing w:before="60" w:after="80"/>
      </w:pPr>
      <w:r>
        <w:rPr>
          <w:rFonts w:ascii="Arial" w:cs="Arial" w:eastAsia="Arial" w:hAnsi="Arial"/>
          <w:color w:val="1A1A1A"/>
          <w:sz w:val="22"/>
          <w:szCs w:val="22"/>
        </w:rPr>
        <w:t xml:space="preserve">This timeline reality is strategically significant for the Hub: a new-build city commercial kitchen is unlikely to open before the Hub's Q1–Q2 2027 Grand Opening target. This means the Hub will be the first new food entrepreneurship infrastructure to come online in Las Cruces -- establishing its brand, vendor relationships, and community identity before the city facility opens. First-mover advantage in this market is meaningful.</w:t>
      </w:r>
    </w:p>
    <w:p>
      <w:pPr>
        <w:spacing w:before="80" w:after="80"/>
      </w:pPr>
      <w:r>
        <w:t xml:space="preserve"/>
      </w:r>
    </w:p>
    <w:p>
      <w:pPr>
        <w:spacing w:before="220" w:after="80"/>
      </w:pPr>
      <w:r>
        <w:rPr>
          <w:rFonts w:ascii="Arial" w:cs="Arial" w:eastAsia="Arial" w:hAnsi="Arial"/>
          <w:b/>
          <w:bCs/>
          <w:color w:val="14746F"/>
          <w:sz w:val="24"/>
          <w:szCs w:val="24"/>
        </w:rPr>
        <w:t xml:space="preserve">Typical City-Operated Commercial Kitchen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Characteristic</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City-Operated Commercial Kitchen</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 for Hub</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Function</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Shared-time kitchen access for licensed food preparation; hourly or monthly rental; no dedicated spaces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Serves a different use case than the Hub's dedicated stalls -- city kitchen users are producers and caterers, not food hall operators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Target User</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Cottage food businesses scaling up; food truck commissaries; caterers; value-added agricultural producers; small-batch packaged food makers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Largely non-overlapping with the Hub's vendor-operator audience, which is seeking a retail food stall, not a production kitchen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Model</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Typically subsidized by city budget and grants; hourly/monthly rental rates (often $20-$40/hour); nonprofit or break-even orientation</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Subsidized pricing creates the perception of competition but the service delivered is fundamentally different from the Hub's model</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Destination Function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city kitchens are back-of-house production facilities; no customer-facing dining, no event programming, no retail experience</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Zero overlap with the Hub's community gathering, dining destination, and cider bar functions -- these simply do not exist at a city production kitchen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Incubation Support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Variable; some city kitchens offer business coaching; most provide space only without the structured mentorship, vendor coaching, or graduation pathway the Hub provides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Hub's structured incubator pipeline, monthly P&amp;L coaching, quality gates, and three-stage graduation pathway are distinctive services that city kitchens rarely replicate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Atmosphere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industrial production environment; not a dining destination, not a gathering space, not an event venue</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Hub's 60-80 seat indoor dining area, cider bar, cultural programming, and community events create a completely different customer experience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Development Code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Subject to the February 2025 Realize Las Cruces code; commercial kitchen use classification distinct from food hall or restaurant use</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with City Planning whether a city-operated commercial kitchen and a privately operated food hall incubator can or should be located in proximity -- they serve different regulatory and use purposes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E.3 The Fundamental Difference: Production Kitchen vs. Food Hall Incubator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Core Distinction</w:t>
            </w:r>
          </w:p>
          <w:p>
            <w:pPr>
              <w:spacing w:before="40"/>
            </w:pPr>
            <w:r>
              <w:rPr>
                <w:rFonts w:ascii="Arial" w:cs="Arial" w:eastAsia="Arial" w:hAnsi="Arial"/>
                <w:color w:val="1A1A1A"/>
                <w:sz w:val="21"/>
                <w:szCs w:val="21"/>
              </w:rPr>
              <w:t xml:space="preserve">A city commercial kitchen is a production facility. The Las Cruces Culinary Innovation Hub is a food destination, business incubator, and community gathering place. These are not competing products -- they are different products that serve different needs, different customers, and different stages of a food entrepreneur's journey. The mistake to avoid is treating them as interchangeable.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8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City Commercial Kitchen</w:t>
            </w:r>
          </w:p>
        </w:tc>
        <w:tc>
          <w:tcPr>
            <w:tcW w:type="dxa" w:w="2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El Calvario Kitchen Incubator</w:t>
            </w:r>
          </w:p>
        </w:tc>
        <w:tc>
          <w:tcPr>
            <w:tcW w:type="dxa" w:w="2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Culinary Innovation Hub</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Purpose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Licensed production space for food makers</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Nonprofit incubation for underserved food entrepreneurs; product development</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Retail food destination + vendor incubator + workforce development + community gathering place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Customer Experience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back-of-house only; no dining area</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 production facility; no public dining</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dining experience: 60-80 seats, cider bar, live events, cultural programming</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Revenue Model for Users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Hourly/monthly kitchen rental</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Subsidized monthly incubation fee ($635/month)</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stall license ($2,000-$3,200/month) + sales percentage; vendors earn revenue serving customers directly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Entrepreneur Stage Served</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Early: product development, cottage food scale-up, commissary use</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Early-to-early-middle: product testing, first commercial sales, scaling toward market</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Middle-to-growth: operating a full-service food stall with daily customer revenue; ready for business ownership</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Path to Market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 must separately find distribution, farmers markets, food hall space to sell their products</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User must separately find retail channels after producing in kitchen</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IS in market from Day 1 -- they serve customers in the food hall stall directly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Dining Destination Function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Central -- the Hub is a place customers come to eat, drink, and gather</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Beverage Program</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20-25 tap specialty craft cider bar + Cider Club Membership</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Event and Cultural Programming</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Limited cultural events (Agape Mercado)</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Monthly cultural festivals, quarterly night markets, weekly programming (trivia, live music, Loteria)</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Development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None</w:t>
            </w:r>
          </w:p>
        </w:tc>
        <w:tc>
          <w:tcPr>
            <w:tcW w:type="dxa" w:w="2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Some informal mentorship</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partnership with NMSU and DACC; paid apprenticeships; ServSafe certification; career ladder to ownership</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Identity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Invisible to the public</w:t>
            </w:r>
          </w:p>
        </w:tc>
        <w:tc>
          <w:tcPr>
            <w:tcW w:type="dxa" w:w="2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Serves a specific community (immigrants, low-income)</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Public-facing Las Cruces cultural institution; anyone in the community can dine, gather, and engage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E.4 The Opportunity: Complementary Positioning and Pipeline Partnership</w:t>
      </w:r>
    </w:p>
    <w:p>
      <w:pPr>
        <w:spacing w:before="60" w:after="80"/>
      </w:pPr>
      <w:r>
        <w:rPr>
          <w:rFonts w:ascii="Arial" w:cs="Arial" w:eastAsia="Arial" w:hAnsi="Arial"/>
          <w:color w:val="1A1A1A"/>
          <w:sz w:val="22"/>
          <w:szCs w:val="22"/>
        </w:rPr>
        <w:t xml:space="preserve">The existence of both a city commercial kitchen and the El Calvario Kitchen Incubator in Las Cruces is not a threat to the Hub. Properly framed, it is one of the strongest arguments for the Hub's viability -- and one of its most valuable partnership opportunities.</w:t>
      </w:r>
    </w:p>
    <w:p>
      <w:pPr>
        <w:spacing w:before="80" w:after="80"/>
      </w:pPr>
      <w:r>
        <w:t xml:space="preserve"/>
      </w:r>
    </w:p>
    <w:p>
      <w:pPr>
        <w:spacing w:before="220" w:after="80"/>
      </w:pPr>
      <w:r>
        <w:rPr>
          <w:rFonts w:ascii="Arial" w:cs="Arial" w:eastAsia="Arial" w:hAnsi="Arial"/>
          <w:b/>
          <w:bCs/>
          <w:color w:val="14746F"/>
          <w:sz w:val="24"/>
          <w:szCs w:val="24"/>
        </w:rPr>
        <w:t xml:space="preserve">The Las Cruces Food Entrepreneur Pipeline: A Three-Stage Ecosystem</w:t>
      </w:r>
    </w:p>
    <w:p>
      <w:pPr>
        <w:spacing w:before="60" w:after="80"/>
      </w:pPr>
      <w:r>
        <w:rPr>
          <w:rFonts w:ascii="Arial" w:cs="Arial" w:eastAsia="Arial" w:hAnsi="Arial"/>
          <w:color w:val="1A1A1A"/>
          <w:sz w:val="22"/>
          <w:szCs w:val="22"/>
        </w:rPr>
        <w:t xml:space="preserve">When the city's commercial kitchen, El Calvario, the Hub, and the SVEDC (South Valley Economic Development Center, Albuquerque) are understood as stages in a food entrepreneur's development journey, they form a coherent regional ecosystem -- not a competitive landscape. New Mexico already has a proven model for Stage 1 food business incubation: SVEDC has operated its Semilla and Mariposa programs since 2005, serving up to 45 food businesses at a time in Albuquerque. Critically, SVEDC explicitly does not serve full-service restaurant concepts (NAICS 722511-722514) -- the exact category the Hub occupies. This means SVEDC graduates who want to open a food stall serving customers directly have nowhere local to go. The Hub fills that gap for Las Cruces. Investors and grant funders should be presented with this framing:</w:t>
      </w:r>
    </w:p>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200"/>
        <w:gridCol w:w="25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Stage</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Facility</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Entrepreneur Profile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They Get</w:t>
            </w:r>
          </w:p>
        </w:tc>
        <w:tc>
          <w:tcPr>
            <w:tcW w:type="dxa" w:w="2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Comes Next</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1: Product Development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Commercial Kitchen + El Calvario Kitchen Incubator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Earliest stage: cottage food operators, recipe developers, first-time food entrepreneurs still testing product viability; often low-income, immigrant, underserved</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Licensed commercial kitchen time; equipment access; basic food safety compliance; early business mentorship at El Calvario; subsidized access to reduce financial risk</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Product refined, business concept validated, first sales made -- ready for the next stage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Stage 2: Market Entry and Business Launch</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Culinary Innovation Hub (Incubator Stalls)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Ready to serve customers directly; needs a retail platform, foot traffic, and business coaching; not yet ready (financially or experientially) for standalone restaurant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private kitchen stall; Day 1 customer traffic; unified POS; monthly coaching; marketing integration; quality gate accountability; path to permanent stall</w:t>
            </w:r>
          </w:p>
        </w:tc>
        <w:tc>
          <w:tcPr>
            <w:tcW w:type="dxa" w:w="2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12-18 months of incubator operation; either earns permanent stall or graduates toward independence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Stage 3: Permanent Stall or Independence</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Permanent Stalls or Independent Restaurant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Proven concept; sustained profitability; established customer following; ready for long-term commitment or standalone location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stall license (2+ year) within Hub OR SBA loan guidance + site selection support for standalone location</w:t>
            </w:r>
          </w:p>
        </w:tc>
        <w:tc>
          <w:tcPr>
            <w:tcW w:type="dxa" w:w="2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institution -- or launch of a new Las Cruces restaurant, adding to the region's culinary ecosystem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Investor and Grant Narrative Opportunity</w:t>
            </w:r>
          </w:p>
          <w:p>
            <w:pPr>
              <w:spacing w:before="40"/>
            </w:pPr>
            <w:r>
              <w:rPr>
                <w:rFonts w:ascii="Arial" w:cs="Arial" w:eastAsia="Arial" w:hAnsi="Arial"/>
                <w:color w:val="1A1A1A"/>
                <w:sz w:val="21"/>
                <w:szCs w:val="21"/>
              </w:rPr>
              <w:t xml:space="preserve">The existence of the city kitchen and El Calvario actually strengthens the Hub's grant applications. The Hub can now document how it fits into a complete entrepreneurial ecosystem in Las Cruces -- with Stage 1 production facilities (city kitchen, El Calvario) feeding a Stage 2 retail launch platform (Hub incubator stalls) feeding a Stage 3 permanent business formation (Hub permanent stalls + independent restaurant alumni). This is a compelling, four-player economic development story that few cities in New Mexico can tell. SVEDC (Albuquerque, Stage 1) + El Calvario (Las Cruces, Stage 1) + the City commercial kitchen (Stage 1) + the Hub (Stage 2 and 3) = a complete, documented entrepreneurial pipeline from first recipe to independent restaurant. Las Cruces can tell this story. Present it this way to every grant agency.</w:t>
            </w:r>
          </w:p>
        </w:tc>
      </w:tr>
    </w:tbl>
    <w:p>
      <w:pPr>
        <w:spacing w:before="80" w:after="80"/>
      </w:pPr>
      <w:r>
        <w:t xml:space="preserve"/>
      </w:r>
    </w:p>
    <w:p>
      <w:pPr>
        <w:spacing w:before="220" w:after="80"/>
      </w:pPr>
      <w:r>
        <w:rPr>
          <w:rFonts w:ascii="Arial" w:cs="Arial" w:eastAsia="Arial" w:hAnsi="Arial"/>
          <w:b/>
          <w:bCs/>
          <w:color w:val="14746F"/>
          <w:sz w:val="24"/>
          <w:szCs w:val="24"/>
        </w:rPr>
        <w:t xml:space="preserve">Partnership Opportunities with El Calvario and the City 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Partnership Type</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El Calvario Commercial Kitchen Incubator</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City of Las Cruces Commercial Kitchen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Referral Pipeline</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Calvario graduates who have proven their product concept but need a retail platform are natural incubator stall candidates for the Hub. Formalize a referral relationship where El Calvario refers Stage 1 graduates to the Hub's incubator program.</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kitchen users who have built a catering business or food product and are ready for a public-facing retail presence are natural referrals to the Hub incubator program. City kitchen + Hub = complete entrepreneur journey within Las Cruces.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Commissary Kitchen Cross-Use</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Calvario clients who need commissary kitchen time for catering or wholesale production beyond El Calvario's capacity can use the Hub's separate commissary kitchen at $25-$35/hour. Dual-facility access expands options for both sets of clients.</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kitchen users who are also food truck operators or caterers may use the Hub's commissary kitchen as their formal NM servicing area agreement partner (required by 7.6.2.9 NMAC). This creates a direct revenue relationship.</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Workforce Development Alignment</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Calvario's mission of serving underserved populations (immigrants, low-income entrepreneurs) directly aligns with the Hub's 70% equity commitment. El Calvario can be a community outreach partner for Hub incubator slot recruitment from the city's most vulnerable populations.</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city kitchen's educational workshops and food entrepreneurship resources can cross-promote the Hub's formal incubator program and NMSU/DACC workforce development partnership. City kitchen users receive notification about Hub incubator openings.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Grant Positioning</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Joint grant applications are possible for workforce development and minority entrepreneurship funding where El Calvario's track record and the Hub's retail platform create a stronger combined economic development story.</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involvement in food entrepreneurship infrastructure strengthens the Hub's NMFA, HFFF, and EPE grant applications -- demonstrating that Las Cruces has a serious, coordinated commitment to food sector economic development.</w:t>
            </w:r>
          </w:p>
        </w:tc>
      </w:tr>
    </w:tbl>
    <w:p>
      <w:pPr>
        <w:spacing w:before="280" w:after="80"/>
      </w:pPr>
      <w:r>
        <w:rPr>
          <w:rFonts w:ascii="Arial" w:hAnsi="Arial"/>
          <w:b/>
          <w:color w:val="14746F"/>
          <w:sz w:val="24"/>
          <w:szCs w:val="24"/>
        </w:rPr>
        <w:t>Partnership Opportunity: SVEDC (South Valley Economic Development Center, Albuquerque)</w:t>
      </w:r>
    </w:p>
    <w:p>
      <w:pPr>
        <w:spacing w:before="60" w:after="100"/>
      </w:pPr>
      <w:r>
        <w:rPr>
          <w:rFonts w:ascii="Arial" w:hAnsi="Arial"/>
          <w:color w:val="1A1A1A"/>
          <w:sz w:val="22"/>
          <w:szCs w:val="22"/>
        </w:rPr>
        <w:t xml:space="preserve">The SVEDC (svedc.org, 318 Isleta Blvd SW, Albuquerque; (505) 877-0373) is New Mexico’s longest-running food business incubator, operating since 2005. Its two-stage program (Semilla + Mariposa) currently serves up to 45 food businesses at subsidized rates ($175–$635/month). Critically, SVEDC explicitly lists full-service restaurant concepts (NAICS 722511, 722513, 722514) as outside its scope — the exact category the Hub occupies. This makes SVEDC a natural upstream partner and referral pipeline, not a competitor.</w:t>
      </w:r>
    </w:p>
    <w:tbl>
      <w:tblPr>
        <w:tblW w:type="dxa" w:w="9360"/>
        <w:tblBorders>
          <w:insideH w:val="single" w:color="B0C8E8" w:sz="1"/>
          <w:insideV w:val="single" w:color="B0C8E8" w:sz="1"/>
        </w:tblBorders>
      </w:tblPr>
      <w:tblGrid>
        <w:gridCol w:w="2200"/>
        <w:gridCol w:w="3580"/>
        <w:gridCol w:w="358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Partnership Type</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SVEDC Provides / Why It Matters</w:t>
            </w:r>
          </w:p>
        </w:tc>
        <w:tc>
          <w:tcPr>
            <w:tcW w:type="dxa" w:w="35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Recommended Action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Referral Pipeline</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SVEDC Mariposa graduates (up to 5 years in program) who have Las Cruces roots and want to open a food stall serving customers are natural Hub incubator candidates. SVEDC can pre-screen culinary credibility and business readiness before Hub admission -- reducing Hub's due diligence burden and improving incubator cohort quality.</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SVEDC Client Services in Phase 1: (505) 877-0373 / info@svedc.org. Also contact The Kitchen Table Santa Fe (info@thekitchentablesantafe.com / (505) 226-1984) for commissary kitchen operational benchmarks and Food Corridor software referral. Join NICK (National Incubator and Commercial Kitchen) Network for national peer learning. Propose a formal referral agreement: when a Mariposa graduate is Las Cruces-based and ready for a retail food stall, SVEDC refers them to the Hub with a letter of recommendation.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Grant Co-Application</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SVEDC's track record (est. 2005, 45+ businesses served, fundraising to expand to 90) strengthens any joint grant narrative around NM food entrepreneurship infrastructure. USDA LFPP, NM Dept. of Agriculture grants, and workforce development grants all favor applicants with demonstrated ecosystem partnerships.</w:t>
            </w:r>
          </w:p>
        </w:tc>
        <w:tc>
          <w:tcPr>
            <w:tcW w:type="dxa" w:w="35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Explore joint applications for USDA Resilient Food Systems Infrastructure grants (the same program El Calvario used to receive $383,000 in Nov 2025). A Las Cruces-Albuquerque food entrepreneur pipeline story is compelling to federal agricultural development funders.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Ecosystem Narrative</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SVEDC's existence upgrades the Hub's grant story from 'one organization helping food entrepreneurs' to 'the southern NM anchor of a statewide food entrepreneurship pipeline.' This framing is stronger for every grant category the Hub targets.</w:t>
            </w:r>
          </w:p>
        </w:tc>
        <w:tc>
          <w:tcPr>
            <w:tcW w:type="dxa" w:w="35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Mention SVEDC in the Hub's NMFA, HFFF, EPE, and USDA grant narratives as evidence that NM has a proven model (SVEDC/Albuquerque) the Hub is extending to the underserved southern NM market.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E.5 Where the Hub Has Uncontestable Advantages</w:t>
      </w:r>
    </w:p>
    <w:p>
      <w:pPr>
        <w:spacing w:before="60" w:after="80"/>
      </w:pPr>
      <w:r>
        <w:rPr>
          <w:rFonts w:ascii="Arial" w:cs="Arial" w:eastAsia="Arial" w:hAnsi="Arial"/>
          <w:color w:val="1A1A1A"/>
          <w:sz w:val="22"/>
          <w:szCs w:val="22"/>
        </w:rPr>
        <w:t xml:space="preserve">Even in a scenario where the city's commercial kitchen is well-funded, well-operated, and actively recruiting food entrepreneurs, there are five dimensions where the Hub has advantages that a city or nonprofit facility structurally cannot replicate: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Advantage</w:t>
            </w:r>
          </w:p>
        </w:tc>
        <w:tc>
          <w:tcPr>
            <w:tcW w:type="dxa" w:w="6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Why It Cannot Be Replicated by a City or Nonprofit Kitchen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Customer-Facing Revenue from Day 1</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and nonprofit kitchens are production facilities -- their users generate no customer revenue within the facility. Hub vendors serve customers directly from Day 1 in a retail food hall context. This is not a minor operational difference; it is the difference between making food and running a business.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Dedicated Private Kitchen Per Stall</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and shared kitchens, including El Calvario, operate on a time-share model. Multiple users share equipment and schedule around each other. The Hub provides every vendor with their own fully equipped, private kitchen -- permanently assigned, available 100% of operating hours. This is a fundamentally different operational experience.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Destination Identity</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kitchens are industrial production spaces invisible to the public. The Hub is a 60-80 seat indoor dining destination with a specialty craft cider bar, monthly cultural festivals, live music, and a community gathering identity. No city kitchen competes with this.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Structured Incubator Pipeline with Graduation</w:t>
            </w:r>
          </w:p>
        </w:tc>
        <w:tc>
          <w:tcPr>
            <w:tcW w:type="dxa" w:w="6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Calvario and city kitchens provide access and basic support. The Hub provides a three-stage, milestone-driven incubator pipeline with monthly P&amp;L coaching, quality gates, permanent stall promotion, and SBA loan graduation support. This is a materially different level of structured business development support.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Cider Bar</w:t>
            </w:r>
          </w:p>
        </w:tc>
        <w:tc>
          <w:tcPr>
            <w:tcW w:type="dxa" w:w="6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city kitchen has a 20-25 tap specialty craft cider bar featuring 8-10 New Mexico cideries, a Cider Club Membership program, and quarterly pairing dinners. This is unique to the Hub and creates a distinct social identity and recurring revenue stream that no public or nonprofit kitchen facility can match.</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E.6 The Validation Signal: What the City's Investment Tells Investors</w:t>
      </w:r>
    </w:p>
    <w:p>
      <w:pPr>
        <w:spacing w:before="60" w:after="80"/>
      </w:pPr>
      <w:r>
        <w:rPr>
          <w:rFonts w:ascii="Arial" w:cs="Arial" w:eastAsia="Arial" w:hAnsi="Arial"/>
          <w:color w:val="1A1A1A"/>
          <w:sz w:val="22"/>
          <w:szCs w:val="22"/>
        </w:rPr>
        <w:t xml:space="preserve">For investors reviewing this business plan, the city's decision to invest in a commercial kitchen facility should be read as a strong validation signal, not a competitive red flag. Here is why:</w:t>
      </w:r>
    </w:p>
    <w:p>
      <w:pPr>
        <w:spacing w:before="80" w:after="80"/>
      </w:pPr>
      <w:r>
        <w:t xml:space="preserve"/>
      </w:r>
    </w:p>
    <w:p>
      <w:pPr>
        <w:pStyle w:val="ListParagraph"/>
        <w:numPr>
          <w:ilvl w:val="0"/>
          <w:numId w:val="2"/>
        </w:numPr>
        <w:spacing w:before="40" w:after="40"/>
      </w:pPr>
      <w:r>
        <w:rPr>
          <w:rFonts w:ascii="Arial" w:cs="Arial" w:eastAsia="Arial" w:hAnsi="Arial"/>
          <w:b/>
          <w:bCs/>
          <w:color w:val="1B3A5C"/>
          <w:sz w:val="22"/>
          <w:szCs w:val="22"/>
        </w:rPr>
        <w:t xml:space="preserve">Demand Validation: </w:t>
      </w:r>
      <w:r>
        <w:rPr>
          <w:rFonts w:ascii="Arial" w:cs="Arial" w:eastAsia="Arial" w:hAnsi="Arial"/>
          <w:color w:val="1A1A1A"/>
          <w:sz w:val="22"/>
          <w:szCs w:val="22"/>
        </w:rPr>
        <w:t xml:space="preserve">When a city government decides to invest public funds in food entrepreneurship infrastructure, it means elected officials and their economic development staff have concluded that there is documented, underserved demand for this type of resource. This is the same market demand the Hub is entering. The city's investment is a third-party confirmation of the Hub's market thesis.</w:t>
      </w:r>
    </w:p>
    <w:p>
      <w:pPr>
        <w:pStyle w:val="ListParagraph"/>
        <w:numPr>
          <w:ilvl w:val="0"/>
          <w:numId w:val="2"/>
        </w:numPr>
        <w:spacing w:before="40" w:after="40"/>
      </w:pPr>
      <w:r>
        <w:rPr>
          <w:rFonts w:ascii="Arial" w:cs="Arial" w:eastAsia="Arial" w:hAnsi="Arial"/>
          <w:b/>
          <w:bCs/>
          <w:color w:val="1B3A5C"/>
          <w:sz w:val="22"/>
          <w:szCs w:val="22"/>
        </w:rPr>
        <w:t xml:space="preserve">Grant Ecosystem Confirmation: </w:t>
      </w:r>
      <w:r>
        <w:rPr>
          <w:rFonts w:ascii="Arial" w:cs="Arial" w:eastAsia="Arial" w:hAnsi="Arial"/>
          <w:color w:val="1A1A1A"/>
          <w:sz w:val="22"/>
          <w:szCs w:val="22"/>
        </w:rPr>
        <w:t xml:space="preserve">Cities invest in commercial kitchens because the grant landscape for food entrepreneurship infrastructure -- USDA Resilient Food Systems Infrastructure grants, workforce development grants, downtown revitalization funding -- is robust and accessible. The fact that El Calvario alone received $383,000 in federal USDA funding confirms that the grant sources the Hub is pursuing are real and funded. The city's entry confirms the funding environment, not just the market demand.</w:t>
      </w:r>
    </w:p>
    <w:p>
      <w:pPr>
        <w:pStyle w:val="ListParagraph"/>
        <w:numPr>
          <w:ilvl w:val="0"/>
          <w:numId w:val="2"/>
        </w:numPr>
        <w:spacing w:before="40" w:after="40"/>
      </w:pPr>
      <w:r>
        <w:rPr>
          <w:rFonts w:ascii="Arial" w:cs="Arial" w:eastAsia="Arial" w:hAnsi="Arial"/>
          <w:b/>
          <w:bCs/>
          <w:color w:val="1B3A5C"/>
          <w:sz w:val="22"/>
          <w:szCs w:val="22"/>
        </w:rPr>
        <w:t xml:space="preserve">Talent Pipeline Activated: </w:t>
      </w:r>
      <w:r>
        <w:rPr>
          <w:rFonts w:ascii="Arial" w:cs="Arial" w:eastAsia="Arial" w:hAnsi="Arial"/>
          <w:color w:val="1A1A1A"/>
          <w:sz w:val="22"/>
          <w:szCs w:val="22"/>
        </w:rPr>
        <w:t xml:space="preserve">The city's commercial kitchen and El Calvario's expansion together mean that the Las Cruces food entrepreneur community will be more active, better trained, and more ready to take their concepts to the next level by the time the Hub opens. The Hub's incubator stalls benefit from an enlarged, better-prepared pipeline of potential vendor candidates who have already tested their concepts in a licensed commercial kitchen environment.</w:t>
      </w:r>
    </w:p>
    <w:p>
      <w:pPr>
        <w:pStyle w:val="ListParagraph"/>
        <w:numPr>
          <w:ilvl w:val="0"/>
          <w:numId w:val="2"/>
        </w:numPr>
        <w:spacing w:before="40" w:after="40"/>
      </w:pPr>
      <w:r>
        <w:rPr>
          <w:rFonts w:ascii="Arial" w:cs="Arial" w:eastAsia="Arial" w:hAnsi="Arial"/>
          <w:b/>
          <w:bCs/>
          <w:color w:val="1B3A5C"/>
          <w:sz w:val="22"/>
          <w:szCs w:val="22"/>
        </w:rPr>
        <w:t xml:space="preserve">Ecosystem Legitimacy: </w:t>
      </w:r>
      <w:r>
        <w:rPr>
          <w:rFonts w:ascii="Arial" w:cs="Arial" w:eastAsia="Arial" w:hAnsi="Arial"/>
          <w:color w:val="1A1A1A"/>
          <w:sz w:val="22"/>
          <w:szCs w:val="22"/>
        </w:rPr>
        <w:t xml:space="preserve">A city that invests in food entrepreneurship infrastructure has already made the political and economic argument that the food sector deserves public investment. That institutional support makes the Hub's grant applications, city partnership requests, and media positioning dramatically easier than they would be in a city with no civic food infrastructure.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Bottom Line for Investors</w:t>
            </w:r>
          </w:p>
          <w:p>
            <w:pPr>
              <w:spacing w:before="40"/>
            </w:pPr>
            <w:r>
              <w:rPr>
                <w:rFonts w:ascii="Arial" w:cs="Arial" w:eastAsia="Arial" w:hAnsi="Arial"/>
                <w:color w:val="1A1A1A"/>
                <w:sz w:val="21"/>
                <w:szCs w:val="21"/>
              </w:rPr>
              <w:t xml:space="preserve">The city's commercial kitchen is not the competition. It is proof of market demand, confirmation of the grant funding landscape, and the first stage of the pipeline that feeds the Hub's incubator program. The Hub is what comes after the city kitchen -- where food entrepreneurs go when they are ready to serve customers, build a business, and become a permanent part of Las Cruces's culinary identity.</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E.7 Strategic Actions in Response to the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 Leads</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Outcome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Las Cruces Economic Development Dept. (575-541-2425) to learn specifics of city kitchen plans: location, timeline, operator, target users, and pricing model</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Phase 1</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competitive intelligence; identification of any direct overlap with Hub's commissary kitchen program; early relationship building with city officials who will influence Hub's grant applications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Contact El Calvario (resiliencylc.org) to introduce the Hub concept and explore formal referral pipeline partnership</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1 -- Phase 1</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Formal referral agreement by Phase 2; El Calvario graduates become first-look Hub incubator candidates; El Calvario and Hub collaborate on shared grant applications for workforce and equity funding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Position the Hub in all grant applications as Stage 2 and Stage 3 of a Las Cruces food entrepreneur ecosystem (city/El Calvario = Stage 1; Hub = Stage 2/3)</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3 -- all grant applications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Attorney</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Stronger, more compelling grant narrative; demonstrates systemic community impact rather than isolated project; differentiates Hub from production kitchen model</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formal Letter of Support from City Economic Development for Hub's NMFA and EPE grant applications -- framing Hub and city kitchen as complementary infrastructure</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2-3 -- Phase 1</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Letter of Support in grant applications; city alignment signals to grant agencies that Hub has civic endorsement; strengthens all grant applications simultaneously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Monitor city kitchen timeline and adjust Hub's commissary kitchen pricing and program if city kitchen will serve the same production users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Ongoing -- Phase 1 and Phase 2</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 + GM</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Commissary kitchen pricing remains competitive; if city kitchen provides identical services at subsidized rates, Hub repositions commissary as premium option (dedicated time, premium equipment, servicing area agreements for food trucks)</w:t>
            </w:r>
          </w:p>
        </w:tc>
      </w:tr>
    </w:tbl>
    <w:p>
      <w:pPr>
        <w:spacing w:before="80" w:after="80"/>
      </w:pPr>
      <w:r>
        <w:t xml:space="preserve"/>
      </w:r>
    </w:p>
    <w:p>
      <w:pPr>
        <w:spacing w:before="60" w:after="80"/>
      </w:pPr>
      <w:r>
        <w:rPr>
          <w:rFonts w:ascii="Arial" w:cs="Arial" w:eastAsia="Arial" w:hAnsi="Arial"/>
          <w:i/>
          <w:iCs/>
          <w:color w:val="555555"/>
          <w:sz w:val="20"/>
          <w:szCs w:val="20"/>
        </w:rPr>
        <w:t xml:space="preserve">Sources: El Calvario Commercial Kitchen Incubator (resiliencylc.org); Source New Mexico reporting on USDA Resilient Food Systems Infrastructure grant awards (November 2025); City of Las Cruces Economic Development Department (lascruces.gov/business/economic-development); The Food Corridor Shared Kitchen Industry Overview (2025); WEDC Food Entrepreneurs in Community Kitchens (2025); USDA Shared Commercial Kitchen Report (2021).</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A: Month-by-Month Year 1 Cash Flow Projection</w:t>
      </w:r>
    </w:p>
    <w:p>
      <w:pPr>
        <w:spacing w:before="60" w:after="80"/>
      </w:pPr>
      <w:r>
        <w:rPr>
          <w:rFonts w:ascii="Arial" w:cs="Arial" w:eastAsia="Arial" w:hAnsi="Arial"/>
          <w:color w:val="1A1A1A"/>
          <w:sz w:val="22"/>
          <w:szCs w:val="22"/>
        </w:rPr>
        <w:t xml:space="preserve">This projection models the actual cash experience of the Las Cruces Culinary Innovation Hub through the first 12 months of operation, accounting for staggered vendor onboarding (stalls coming online through Month 9), seasonal patterns, and the Las Cruces market's real occupancy ramp based on comparable food hall data. It is the document required by SBA 7(a) lenders and all grant programs.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Occupancy Ramp Basis</w:t>
            </w:r>
          </w:p>
          <w:p>
            <w:pPr>
              <w:spacing w:before="40"/>
            </w:pPr>
            <w:r>
              <w:rPr>
                <w:rFonts w:ascii="Arial" w:cs="Arial" w:eastAsia="Arial" w:hAnsi="Arial"/>
                <w:color w:val="1A1A1A"/>
                <w:sz w:val="21"/>
                <w:szCs w:val="21"/>
              </w:rPr>
              <w:t xml:space="preserve">Industry data from 10+ food hall openings shows a consistent ramp: 60-70% occupancy at Month 1 (soft opening buzz + operations calibration), a dip to 60-65% at Month 3 (post-novelty normalization), recovery to 80-90% by Month 6, and 90%+ stabilization by Month 12. This model applies those benchmarks to the Hub's specific stall count and revenue mix.</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A.1 Monthly Revenue Model -- Year 1</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2000"/>
        <w:gridCol w:w="1500"/>
        <w:gridCol w:w="1400"/>
        <w:gridCol w:w="1600"/>
        <w:gridCol w:w="1060"/>
      </w:tblGrid>
      <w:tr>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w:t>
            </w:r>
          </w:p>
        </w:tc>
        <w:tc>
          <w:tcPr>
            <w:tcW w:type="dxa" w:w="1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Stalls Open</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Occupancy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 Rent + %</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Cider Bar</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Events</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Commissary</w:t>
            </w:r>
          </w:p>
        </w:tc>
        <w:tc>
          <w:tcPr>
            <w:tcW w:type="dxa" w:w="1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TOTAL REVENUE</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(Soft Open)</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54%</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$19,600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$30,600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62%</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$23,800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$37,800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4</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69%</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$46,400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77%</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$4,500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$52,200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77%</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$13,500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$56,000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$37,200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$3,800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$61,500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8</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$38,500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 (Grand Open)</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$43,000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$71,700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10</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92%</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$44,500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11</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 of 13</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$47,200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$4,800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$79,000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12</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 of 13</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$81,000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 TOTAL</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77% avg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$419,900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$161,500</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$43,000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$694,400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Note on Revenue vs. Full-Year Projection</w:t>
            </w:r>
          </w:p>
          <w:p>
            <w:pPr>
              <w:spacing w:before="40"/>
            </w:pPr>
            <w:r>
              <w:rPr>
                <w:rFonts w:ascii="Arial" w:cs="Arial" w:eastAsia="Arial" w:hAnsi="Arial"/>
                <w:color w:val="1A1A1A"/>
                <w:sz w:val="21"/>
                <w:szCs w:val="21"/>
              </w:rPr>
              <w:t xml:space="preserve">This cash flow reflects only 12 operating months but the Hub's stalls do not all open on Day 1 -- 7 stalls open at soft opening (Month 1) with remaining stalls onboarding through Month 9. The full-year projection of $1,005,000 in the main financial model assumes a full 12-month operating year with all stalls open. This monthly model shows the realistic first-year cash experience and the $694,400 total reflects the staggered opening reality. The difference is working capital funded by the pre-opening reserve.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A.2 Monthly Operating Costs -- Year 1</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gridCol w:w="1800"/>
        <w:gridCol w:w="1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Category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1-3 (avg/mo)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4-6 (avg/mo)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7-9 (avg/mo)</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Months 10-12 (avg/mo)</w:t>
            </w:r>
          </w:p>
        </w:tc>
        <w:tc>
          <w:tcPr>
            <w:tcW w:type="dxa" w:w="1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Total</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Staff (prorated ramp)</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$31,000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$52,500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$60,500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$549,000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Facility Lease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$96,000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Utilities (actual -- see A.3)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$14,000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$147,000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COGS (~22%)</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$3,800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$37,400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Insurance + Taxes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$21,600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$36,000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Software / POS (Tabski)</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$20,400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Admin / Professional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Grease Hauling + Maintenance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$16,000</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Misc / Contingency</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$18,000</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COSTS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$965,400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A.3 Monthly Cash Position -- Year 1</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tblGrid>
      <w:tr>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Net Cash</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Cumulative Cash</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$30,600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$37,800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-$57,200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3</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$39,200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$62,800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-$23,600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-$80,800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4</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-$107,800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$52,200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-$21,200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-$129,000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6</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$56,000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$73,400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-$146,400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7</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$61,500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-$26,900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-$173,300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8</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-$197,700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9</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$71,700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$88,400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-$16,700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-$214,400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$75,000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-$236,800</w:t>
            </w:r>
          </w:p>
        </w:tc>
      </w:tr>
      <w:tr>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11</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$79,000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-$18,400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-$255,200</w:t>
            </w:r>
          </w:p>
        </w:tc>
      </w:tr>
      <w:tr>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12</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$97,400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-$16,400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-$271,600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Capital Reserve Requirement</w:t>
            </w:r>
          </w:p>
          <w:p>
            <w:pPr>
              <w:spacing w:before="40"/>
            </w:pPr>
            <w:r>
              <w:rPr>
                <w:rFonts w:ascii="Arial" w:cs="Arial" w:eastAsia="Arial" w:hAnsi="Arial"/>
                <w:color w:val="1A1A1A"/>
                <w:sz w:val="21"/>
                <w:szCs w:val="21"/>
              </w:rPr>
              <w:t xml:space="preserve">The month-by-month cash flow model confirms the Hub requires approximately $272,000 in working capital reserves to cover operating losses through Month 12 before revenue overtakes costs. This is fully absorbed by the grant + SBA + equity funding stack. Month 13 onward (Year 2), all stalls are operational, the programming calendar is mature, and the Cider Club has 100+ members -- the model projects positive monthly cash flow beginning Month 13-14. Breakeven on a cumulative basis occurs at Month 18-20 as projected in the main financial model.</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B: Utility Cost Model -- Desert Climate Reforecast</w:t>
      </w:r>
    </w:p>
    <w:p>
      <w:pPr>
        <w:spacing w:before="60" w:after="80"/>
      </w:pPr>
      <w:r>
        <w:rPr>
          <w:rFonts w:ascii="Arial" w:cs="Arial" w:eastAsia="Arial" w:hAnsi="Arial"/>
          <w:color w:val="1A1A1A"/>
          <w:sz w:val="22"/>
          <w:szCs w:val="22"/>
        </w:rPr>
        <w:t xml:space="preserve">The main financial model budgets $25,000/year for utilities in common areas. Deep research into Las Cruces-specific utility rates and the actual energy demand of a multi-kitchen food hall in a desert climate reveals this figure requires significant upward revision. This supplement presents the corrected utility cost model and explains the drivers.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Critical Correction</w:t>
            </w:r>
          </w:p>
          <w:p>
            <w:pPr>
              <w:spacing w:before="40"/>
            </w:pPr>
            <w:r>
              <w:rPr>
                <w:rFonts w:ascii="Arial" w:cs="Arial" w:eastAsia="Arial" w:hAnsi="Arial"/>
                <w:color w:val="1A1A1A"/>
                <w:sz w:val="21"/>
                <w:szCs w:val="21"/>
              </w:rPr>
              <w:t xml:space="preserve">An 8,000 sq ft indoor, climate-controlled facility with 10-13 commercial kitchen operations in Las Cruces will consume dramatically more energy than the $25,000/year estimate in the main model. Las Cruces summer temperatures exceed 100 degrees F for months at a time; commercial kitchen exhaust creates substantial heat load that HVAC must counteract; and El Paso Electric's commercial rate structure includes demand charges on top of consumption rates. The corrected annual utility budget is $120,000-$175,000 -- six to seven times higher than the original estimate.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B.1 Utility Cost Breakdown by Category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480"/>
        <w:gridCol w:w="148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Utility</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Provider</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Rate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Consumption Estimate</w:t>
            </w:r>
          </w:p>
        </w:tc>
        <w:tc>
          <w:tcPr>
            <w:tcW w:type="dxa" w:w="1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Cost Low</w:t>
            </w:r>
          </w:p>
        </w:tc>
        <w:tc>
          <w:tcPr>
            <w:tcW w:type="dxa" w:w="1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Cost High</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Electricity (HVAC + Kitchens + Refrigeration + Lighting)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 Paso Electric</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$0.13-$0.14/kWh + demand charges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400,000-520,000 kWh/year</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$65,000</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$95,000</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Natural Gas (commercial cooking range, water heating)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Mexico Gas Company</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$0.90-$1.10/therm</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8,000-15,000 therms/year</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$16,000</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Water + Sewer (multi-kitchen prep, cleaning, restrooms)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Utilities (LCU)</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Tiered: $2.85-$5.23/1,000 gal</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5,000-15,000 gallons/day</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$72,000</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Solid Waste / Trash Hauling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LCU / private hauler</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flat rates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Weekly commercial pickup</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$108,000</w:t>
            </w:r>
          </w:p>
        </w:tc>
        <w:tc>
          <w:tcPr>
            <w:tcW w:type="dxa" w:w="1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$189,000</w:t>
            </w:r>
          </w:p>
        </w:tc>
      </w:tr>
    </w:tbl>
    <w:p>
      <w:pPr>
        <w:spacing w:before="80" w:after="80"/>
      </w:pPr>
      <w:r>
        <w:t xml:space="preserve"/>
      </w:r>
    </w:p>
    <w:p>
      <w:pPr>
        <w:spacing w:before="60" w:after="80"/>
      </w:pPr>
      <w:r>
        <w:rPr>
          <w:rFonts w:ascii="Arial" w:cs="Arial" w:eastAsia="Arial" w:hAnsi="Arial"/>
          <w:color w:val="1A1A1A"/>
          <w:sz w:val="22"/>
          <w:szCs w:val="22"/>
        </w:rPr>
        <w:t xml:space="preserve">Planning baseline: $150,000 per year ($12,500 per month), representing approximately $15-19/sq ft/year all utilities combined. This is the figure used in the revised Year 1 cost structure. The national restaurant industry average for utilities runs $2.90/sq ft/year; the desert climate heat load and concentrated multi-kitchen format justify 5-6x the national average on a per-square-foot basis for the shared common infrastructure cost.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B.2 Utility Cost Allocation Strategy</w:t>
      </w:r>
    </w:p>
    <w:p>
      <w:pPr>
        <w:spacing w:before="60" w:after="80"/>
      </w:pPr>
      <w:r>
        <w:rPr>
          <w:rFonts w:ascii="Arial" w:cs="Arial" w:eastAsia="Arial" w:hAnsi="Arial"/>
          <w:color w:val="1A1A1A"/>
          <w:sz w:val="22"/>
          <w:szCs w:val="22"/>
        </w:rPr>
        <w:t xml:space="preserve">The hub's utility costs are allocated between hub infrastructure costs (HVAC for common dining area, lighting, restrooms, cider bar refrigeration) and vendor-driven costs (kitchen hood makeup air, intensive cooking heat load). The current model charges vendors $500/month in shared services fees ($60,000/year across 10 stalls) which partially offsets the utility cost. The revised model increases this to $600-$750/month per stall to better align cost recovery with actual consumption.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Electricity (hub responsibility: HVAC, common areas, bar)</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$78,000</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Natural Gas (hub responsibility: shared water heating, commissary)</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Water + Sewer (hub responsibility: all shared infrastructure)</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$42,000</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Solid Waste (hub responsibility)</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$4,800</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Recovery via Vendor Shared Services Fees (10 stalls x $600/mo)</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($72,000)</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NET Hub Utility Cost (after vendor recovery)</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$5,400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$64,800</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C: SBA 7(a) Loan Strategy and Fallback Capital Plan</w:t>
      </w:r>
    </w:p>
    <w:p>
      <w:pPr>
        <w:spacing w:before="60" w:after="80"/>
      </w:pPr>
      <w:r>
        <w:rPr>
          <w:rFonts w:ascii="Arial" w:cs="Arial" w:eastAsia="Arial" w:hAnsi="Arial"/>
          <w:color w:val="1A1A1A"/>
          <w:sz w:val="22"/>
          <w:szCs w:val="22"/>
        </w:rPr>
        <w:t xml:space="preserve">This supplement addresses the SBA 7(a) loan requirements in detail, positions the Hub's application correctly against lender expectations, and defines a specific phased-opening fallback plan in the event the initial SBA application is declined.</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C.1 SBA 7(a) Requirements for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Requirement</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Standard</w:t>
            </w:r>
          </w:p>
        </w:tc>
        <w:tc>
          <w:tcPr>
            <w:tcW w:type="dxa" w:w="3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Application</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Pre-Opening Grant Awards (Equity Equivalent)</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total project cost per SOP 50 10 8 (restored June 2025)</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 of $1.4M = $140,000 minimum; most lenders require 20-30% for restaurant startups = $280,000-$420,000</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NAICS Code Classification</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Must be food service (NAICS 722xxx), not property leasing (NAICS 531120)</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positioned as food service operator (NAICS 722514 Cafeterias/Buffets or 722511 Full-Service Restaurants); revenue from vendor stalls framed as food service platform, not rental income</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 Credit Score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Minimum 650; competitive at 700+</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be confirmed; credit consultation with SBA lender in Month 1</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Debt Service Coverage Ratio</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Minimum 1.25x on projected revenue</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Year 2 EBITDA of $384,000 / annual SBA debt service (~$100,000) = 3.84x DSCR -- strong coverage</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Industry Experience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Preferred; required documentation</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Founder's BS General Engineering + MS Industrial Engineering (Engineering Management) + multi-year business operator track record documented in loan package</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Collateral</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takes all available business and personal assets</w:t>
            </w:r>
          </w:p>
        </w:tc>
        <w:tc>
          <w:tcPr>
            <w:tcW w:type="dxa" w:w="3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All business assets (equipment, FF&amp;E, leasehold improvements) pledged; personal assets per lender requirements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Loan Term</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 to 10 years (equipment/working capital); 25 years (real estate)</w:t>
            </w:r>
          </w:p>
        </w:tc>
        <w:tc>
          <w:tcPr>
            <w:tcW w:type="dxa" w:w="3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Target 10-year term at $850,000 = approximately $8,800-$9,500/month debt service at 9.5-10.0%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Interest Rate Projection</w:t>
            </w:r>
          </w:p>
          <w:p>
            <w:pPr>
              <w:spacing w:before="40"/>
            </w:pPr>
            <w:r>
              <w:rPr>
                <w:rFonts w:ascii="Arial" w:cs="Arial" w:eastAsia="Arial" w:hAnsi="Arial"/>
                <w:color w:val="1A1A1A"/>
                <w:sz w:val="21"/>
                <w:szCs w:val="21"/>
              </w:rPr>
              <w:t xml:space="preserve">Current SBA 7(a) rates for loans over $350,000 are capped at Prime + 3.0%. With Prime at 6.75% (April 2026), maximum rate = 9.75%. Competitive borrowers with strong DSCR and industry experience typically achieve 9.0-9.5%. At $850,000 over 10 years at 9.5%, monthly debt service = approximately $10,900/month ($130,800/year) -- factored into Year 2+ cost projections.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C.2 Application Positioning Notes</w:t>
      </w:r>
    </w:p>
    <w:p>
      <w:pPr>
        <w:pStyle w:val="ListParagraph"/>
        <w:numPr>
          <w:ilvl w:val="0"/>
          <w:numId w:val="2"/>
        </w:numPr>
        <w:spacing w:before="40" w:after="40"/>
      </w:pPr>
      <w:r>
        <w:rPr>
          <w:rFonts w:ascii="Arial" w:cs="Arial" w:eastAsia="Arial" w:hAnsi="Arial"/>
          <w:color w:val="1A1A1A"/>
          <w:sz w:val="22"/>
          <w:szCs w:val="22"/>
        </w:rPr>
        <w:t xml:space="preserve">NAICS code selection is critical: classify as NAICS 722514 (Cafeteria) or 722511 (Full-Service Restaurant). Do NOT allow classification as 531120 (Nonresidential Lessor). The business plan must consistently describe the Hub as a food service operator, not a property manager.</w:t>
      </w:r>
    </w:p>
    <w:p>
      <w:pPr>
        <w:pStyle w:val="ListParagraph"/>
        <w:numPr>
          <w:ilvl w:val="0"/>
          <w:numId w:val="2"/>
        </w:numPr>
        <w:spacing w:before="40" w:after="40"/>
      </w:pPr>
      <w:r>
        <w:rPr>
          <w:rFonts w:ascii="Arial" w:cs="Arial" w:eastAsia="Arial" w:hAnsi="Arial"/>
          <w:color w:val="1A1A1A"/>
          <w:sz w:val="22"/>
          <w:szCs w:val="22"/>
        </w:rPr>
        <w:t xml:space="preserve">The SBA's 2025 SOP restoration of the personal resources test means the lender will verify that the founder does not have liquid personal assets sufficient to fund the project without the SBA loan. Document clearly that personal resources are committed to the equity injection and that the SBA loan covers the remaining capital need.</w:t>
      </w:r>
    </w:p>
    <w:p>
      <w:pPr>
        <w:pStyle w:val="ListParagraph"/>
        <w:numPr>
          <w:ilvl w:val="0"/>
          <w:numId w:val="2"/>
        </w:numPr>
        <w:spacing w:before="40" w:after="40"/>
      </w:pPr>
      <w:r>
        <w:rPr>
          <w:rFonts w:ascii="Arial" w:cs="Arial" w:eastAsia="Arial" w:hAnsi="Arial"/>
          <w:color w:val="1A1A1A"/>
          <w:sz w:val="22"/>
          <w:szCs w:val="22"/>
        </w:rPr>
        <w:t xml:space="preserve">Preferred Lender Program (PLP) lenders can close in 30-45 days vs. 60-90 for standard channel. WESST in Las Cruces and local credit unions with SBA PLP status are first-call candidates.</w:t>
      </w:r>
    </w:p>
    <w:p>
      <w:pPr>
        <w:pStyle w:val="ListParagraph"/>
        <w:numPr>
          <w:ilvl w:val="0"/>
          <w:numId w:val="2"/>
        </w:numPr>
        <w:spacing w:before="40" w:after="40"/>
      </w:pPr>
      <w:r>
        <w:rPr>
          <w:rFonts w:ascii="Arial" w:cs="Arial" w:eastAsia="Arial" w:hAnsi="Arial"/>
          <w:color w:val="1A1A1A"/>
          <w:sz w:val="22"/>
          <w:szCs w:val="22"/>
        </w:rPr>
        <w:t xml:space="preserve">A Letter of Support from the City of Las Cruces Economic Development Department materially strengthens any SBA application for a community economic development project. Pursue this in Month 1 alongside DLCP and MVEDA introductions.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C.3 Fallback Plan if SBA 7(a) Is Declined</w:t>
      </w:r>
    </w:p>
    <w:p>
      <w:pPr>
        <w:spacing w:before="60" w:after="80"/>
      </w:pPr>
      <w:r>
        <w:rPr>
          <w:rFonts w:ascii="Arial" w:cs="Arial" w:eastAsia="Arial" w:hAnsi="Arial"/>
          <w:color w:val="1A1A1A"/>
          <w:sz w:val="22"/>
          <w:szCs w:val="22"/>
        </w:rPr>
        <w:t xml:space="preserve">SBA startup restaurant applications face 40-50% approval rates. The following phased fallback plan allows the Hub to open at reduced initial scope and generate revenue while pursuing alternative financing.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Impact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Fallback Phase 1: Reduced Buildout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declined; grants secured ($405,000-$595,000 incl. WIOA/EmployNM); equity committed</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Open 6-8 stalls + cider bar only; defer ghost kitchens and commissary buildout until Year 2 financing secured</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1 revenue reduced to approximately $500,000-$650,000; still EBITDA-positive with reduced overhead</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Fallback Phase 2: Alternative Debt</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declined; Phase 1 operating; 6 months of operating history to show</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Apply for CDFI loan ($300,000-$500,000 at 7-12%) or SBA Microloan ($50,000) plus equipment financing ($150,000-$250,000 at 6-8%) to fund remaining buildout</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Completes stall buildout 6-12 months later than original plan; EBITDA maintained</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Fallback Phase 3: SBA 504</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Real estate purchase becomes viable; 2+ years of operating history</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Refinance into SBA 504 structure if building purchase is negotiated with landlord; lower fixed rate; longer term</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Reduces debt service by $1,500-$3,000/month; improves long-term EBITDA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Fallback Financing Source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Amount Available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Rate Range</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Best For</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WESST Enterprise Center (NM CDFI)</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$50,000-$500,000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6-12%</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small businesses; flexible credit requirements</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SBA Microloan (via nonprofit intermediary)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 to $50,000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8-13%</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Working capital supplement; faster approval than 7(a)</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Financing (direct lender)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$150,000-$300,000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kitchen equipment; equipment serves as collateral</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NMFA (NM Finance Authority)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$100,000-$1,000,000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Varies</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Mexico businesses; economic development focus</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Investor Bridge Financing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$100,000-$300,000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8-15% or equity</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Short-term bridge to SBA closing or alternative debt; negotiate with existing investor group</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D: Legal Entity Structure and Investor Exit Mechanism</w:t>
      </w:r>
    </w:p>
    <w:p>
      <w:pPr>
        <w:pStyle w:val="Heading2"/>
        <w:spacing w:before="320" w:after="100"/>
      </w:pPr>
      <w:r>
        <w:rPr>
          <w:rFonts w:ascii="Arial" w:cs="Arial" w:eastAsia="Arial" w:hAnsi="Arial"/>
          <w:b/>
          <w:bCs/>
          <w:color w:val="2563A8"/>
          <w:sz w:val="28"/>
          <w:szCs w:val="28"/>
        </w:rPr>
        <w:t xml:space="preserve">D.1 Recommended Legal Entity: New Mexico Multi-Member LLC</w:t>
      </w:r>
    </w:p>
    <w:p>
      <w:pPr>
        <w:spacing w:before="60" w:after="80"/>
      </w:pPr>
      <w:r>
        <w:rPr>
          <w:rFonts w:ascii="Arial" w:cs="Arial" w:eastAsia="Arial" w:hAnsi="Arial"/>
          <w:color w:val="1A1A1A"/>
          <w:sz w:val="22"/>
          <w:szCs w:val="22"/>
        </w:rPr>
        <w:t xml:space="preserve">The Las Cruces Culinary Innovation Hub will be organized as a New Mexico Limited Liability Company (LLC) -- the standard and recommended entity structure for food hall and hospitality businesses. New Mexico is exceptionally favorable for LLC formation: the state filing fee is $50, there is no annual report requirement, member names are not disclosed on public filings, and the state imposes no franchise tax on LLCs unless federal income tax was paid (in which case, $50/year).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1400"/>
        <w:gridCol w:w="1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Formation Item</w:t>
            </w:r>
          </w:p>
        </w:tc>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w:t>
            </w:r>
          </w:p>
        </w:tc>
        <w:tc>
          <w:tcPr>
            <w:tcW w:type="dxa" w:w="1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Articles of Organization</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Filed with NM Secretary of State online; establishes the LLC as a legal entity</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 business days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Operating Agreement</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Internal governing document -- the most important legal document; drafted by attorney; covers capital contributions, profit allocation, voting rights, distributions, buy-sell provisions, and exit mechanisms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$800-$2,500 attorney fee</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 weeks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Federal EIN</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IRS Employer Identification Number; required for taxes, banking, SBA loan application</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Free (online)</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Same day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 CRS Number</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State tax ID for Gross Receipts Tax reporting (Las Cruces GRT rate: 8.39%)</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Free</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 business days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Business Registration</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registration (separate from state LLC)</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$50-$150/year</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weeks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D.2 Ownership Structure -- Two-Class LLC</w:t>
      </w:r>
    </w:p>
    <w:p>
      <w:pPr>
        <w:spacing w:before="60" w:after="80"/>
      </w:pPr>
      <w:r>
        <w:rPr>
          <w:rFonts w:ascii="Arial" w:cs="Arial" w:eastAsia="Arial" w:hAnsi="Arial"/>
          <w:color w:val="1A1A1A"/>
          <w:sz w:val="22"/>
          <w:szCs w:val="22"/>
        </w:rPr>
        <w:t xml:space="preserve">A two-class LLC structure separates voting rights from economic rights, allowing investors to hold significant economic interest without governance conflicts. All percentages and specific ownership terms are governed exclusively by the Operating Agreement -- this document is never filed publicly.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21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Class</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Holder</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Rights</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Governance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Class A (Operator Units)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Founder/CEO</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Full voting rights; economic participation after Class B preferred return is satisfied; management authority over daily operations and strategic direction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Sole voting control over operational decisions; equal economic participation with Class B after preferred return waterfall is satisfied</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Class B (Investor Units)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Outside investors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rights including 8% annual preferred return on invested capital; pro-rata participation in profits above preferred return; limited governance (major transaction consent rights only -- sale of business, refinancing, structural changes)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day-to-day governance; veto rights limited to major transactions defined in Operating Agreement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D.3 Investor Return Structure and Exit Mechanism</w:t>
      </w:r>
    </w:p>
    <w:p>
      <w:pPr>
        <w:spacing w:before="60" w:after="80"/>
      </w:pPr>
      <w:r>
        <w:rPr>
          <w:rFonts w:ascii="Arial" w:cs="Arial" w:eastAsia="Arial" w:hAnsi="Arial"/>
          <w:color w:val="1A1A1A"/>
          <w:sz w:val="22"/>
          <w:szCs w:val="22"/>
        </w:rPr>
        <w:t xml:space="preserve">Investors in the Las Cruces Culinary Innovation Hub participate through Class B Units with a defined preferred return and exit pathway. This structure is consistent with standard small hospitality deal terms and gives investors clear visibility into how they realize their return.</w:t>
      </w:r>
    </w:p>
    <w:p>
      <w:pPr>
        <w:spacing w:before="80" w:after="80"/>
      </w:pPr>
      <w:r>
        <w:t xml:space="preserve"/>
      </w:r>
    </w:p>
    <w:p>
      <w:pPr>
        <w:spacing w:before="220" w:after="80"/>
      </w:pPr>
      <w:r>
        <w:rPr>
          <w:rFonts w:ascii="Arial" w:cs="Arial" w:eastAsia="Arial" w:hAnsi="Arial"/>
          <w:b/>
          <w:bCs/>
          <w:color w:val="14746F"/>
          <w:sz w:val="24"/>
          <w:szCs w:val="24"/>
        </w:rPr>
        <w:t xml:space="preserve">The Distribution Waterfall</w:t>
      </w:r>
    </w:p>
    <w:p>
      <w:pPr>
        <w:pStyle w:val="ListParagraph"/>
        <w:numPr>
          <w:ilvl w:val="0"/>
          <w:numId w:val="2"/>
        </w:numPr>
        <w:spacing w:before="40" w:after="40"/>
      </w:pPr>
      <w:r>
        <w:rPr>
          <w:rFonts w:ascii="Arial" w:cs="Arial" w:eastAsia="Arial" w:hAnsi="Arial"/>
          <w:color w:val="1A1A1A"/>
          <w:sz w:val="22"/>
          <w:szCs w:val="22"/>
        </w:rPr>
        <w:t xml:space="preserve">Tier 1: SBA Debt Service (first priority) -- All SBA 7(a) loan payments are made before any distributions to LLC members. SBA covenants prohibit distributions that impair DSCR below 1.0x.</w:t>
      </w:r>
    </w:p>
    <w:p>
      <w:pPr>
        <w:pStyle w:val="ListParagraph"/>
        <w:numPr>
          <w:ilvl w:val="0"/>
          <w:numId w:val="2"/>
        </w:numPr>
        <w:spacing w:before="40" w:after="40"/>
      </w:pPr>
      <w:r>
        <w:rPr>
          <w:rFonts w:ascii="Arial" w:cs="Arial" w:eastAsia="Arial" w:hAnsi="Arial"/>
          <w:color w:val="1A1A1A"/>
          <w:sz w:val="22"/>
          <w:szCs w:val="22"/>
        </w:rPr>
        <w:t xml:space="preserve">Tier 2: Operating Reserve Replenishment -- Maintain minimum 3-month operating reserve ($60,000-$75,000) before any member distributions.</w:t>
      </w:r>
    </w:p>
    <w:p>
      <w:pPr>
        <w:pStyle w:val="ListParagraph"/>
        <w:numPr>
          <w:ilvl w:val="0"/>
          <w:numId w:val="2"/>
        </w:numPr>
        <w:spacing w:before="40" w:after="40"/>
      </w:pPr>
      <w:r>
        <w:rPr>
          <w:rFonts w:ascii="Arial" w:cs="Arial" w:eastAsia="Arial" w:hAnsi="Arial"/>
          <w:color w:val="1A1A1A"/>
          <w:sz w:val="22"/>
          <w:szCs w:val="22"/>
        </w:rPr>
        <w:t xml:space="preserve">Tier 3: Class B Preferred Return (8% annually on invested capital) -- For every $100,000 invested, Class B holders receive $8,000/year from available cash flow. Shortfalls accumulate and are paid in subsequent periods before any profit-sharing distributions.</w:t>
      </w:r>
    </w:p>
    <w:p>
      <w:pPr>
        <w:pStyle w:val="ListParagraph"/>
        <w:numPr>
          <w:ilvl w:val="0"/>
          <w:numId w:val="2"/>
        </w:numPr>
        <w:spacing w:before="40" w:after="40"/>
      </w:pPr>
      <w:r>
        <w:rPr>
          <w:rFonts w:ascii="Arial" w:cs="Arial" w:eastAsia="Arial" w:hAnsi="Arial"/>
          <w:color w:val="1A1A1A"/>
          <w:sz w:val="22"/>
          <w:szCs w:val="22"/>
        </w:rPr>
        <w:t xml:space="preserve">Tier 4: Profit Sharing Distribution -- Remaining cash flow distributed per the profit-sharing ratio (exact percentages set in Operating Agreement; typically 51-60% Class A / 40-49% Class B based on relative capital contributions).</w:t>
      </w:r>
    </w:p>
    <w:p>
      <w:pPr>
        <w:spacing w:before="80" w:after="80"/>
      </w:pPr>
      <w:r>
        <w:t xml:space="preserve"/>
      </w:r>
    </w:p>
    <w:p>
      <w:pPr>
        <w:spacing w:before="220" w:after="80"/>
      </w:pPr>
      <w:r>
        <w:rPr>
          <w:rFonts w:ascii="Arial" w:cs="Arial" w:eastAsia="Arial" w:hAnsi="Arial"/>
          <w:b/>
          <w:bCs/>
          <w:color w:val="14746F"/>
          <w:sz w:val="24"/>
          <w:szCs w:val="24"/>
        </w:rPr>
        <w:t xml:space="preserve">Investor Exit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Exit Mechanism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Trigger</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Valuation Method</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Payment Structure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Operator Buyout (primary exit)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 5 anniversary of Grand Opening; either party may trigger</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3.0x trailing 12-month EBITDA (at $570,000 Year 3 EBITDA, this values Class B interest proportionally); minimum buyout floor of 1.5x invested capital</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25-35% lump sum at closing; remainder in annual installments over 3-5 years at 6-8% interest</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Sale (secondary exit)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Unanimous consent; or at Year 7 if IRR below 12%</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Third-party valuation by restaurant industry CPA; or competitive bid process</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Pro-rata distribution of net sale proceeds per waterfall; preferred return fully satisfied before profit-sharing split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Right of First Refusal</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Class B member wishes to sell their Units to a third party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Matching right: Founder/Class A has 30 days to match any bona fide third-party offer</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At offered price and terms from third party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Drag-Along Right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Founder/Class A accepts sale offer for 100% of the business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Investors compelled to sell at same per-unit price and terms as operator</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per-unit economics as Founder; investors cannot block a unanimous sale</w:t>
            </w:r>
          </w:p>
        </w:tc>
      </w:tr>
    </w:tbl>
    <w:p>
      <w:pPr>
        <w:spacing w:before="80" w:after="80"/>
      </w:pPr>
      <w:r>
        <w:t xml:space="preserve"/>
      </w:r>
    </w:p>
    <w:p>
      <w:pPr>
        <w:spacing w:before="220" w:after="80"/>
      </w:pPr>
      <w:r>
        <w:rPr>
          <w:rFonts w:ascii="Arial" w:cs="Arial" w:eastAsia="Arial" w:hAnsi="Arial"/>
          <w:b/>
          <w:bCs/>
          <w:color w:val="14746F"/>
          <w:sz w:val="24"/>
          <w:szCs w:val="24"/>
        </w:rPr>
        <w:t xml:space="preserve">Projected Investor Returns -- Illustrative Example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000"/>
        <w:gridCol w:w="1600"/>
        <w:gridCol w:w="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$100,000 Investment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Assumed Class B %</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Preferred Return (5 yrs)</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5 Buyout Value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Total Return</w:t>
            </w:r>
          </w:p>
        </w:tc>
        <w:tc>
          <w:tcPr>
            <w:tcW w:type="dxa" w:w="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IRR</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Conservative (60% of EBITDA projections)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 (8%/yr)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$85,500 (15% of $570K x 3.0x)</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$225,500</w:t>
            </w:r>
          </w:p>
        </w:tc>
        <w:tc>
          <w:tcPr>
            <w:tcW w:type="dxa" w:w="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Base Case (100% of EBITDA projections)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$40,000 (8%/yr)</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$85,500</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$225,500</w:t>
            </w:r>
          </w:p>
        </w:tc>
        <w:tc>
          <w:tcPr>
            <w:tcW w:type="dxa" w:w="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Upside (120% of EBITDA projections)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$40,000 (8%/yr)</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$102,600 (15% of $684K x 3.0x)</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$242,600</w:t>
            </w:r>
          </w:p>
        </w:tc>
        <w:tc>
          <w:tcPr>
            <w:tcW w:type="dxa" w:w="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w:t>
            </w:r>
          </w:p>
        </w:tc>
      </w:tr>
    </w:tbl>
    <w:p>
      <w:pPr>
        <w:spacing w:before="60" w:after="80"/>
      </w:pPr>
      <w:r>
        <w:rPr>
          <w:rFonts w:ascii="Arial" w:cs="Arial" w:eastAsia="Arial" w:hAnsi="Arial"/>
          <w:i/>
          <w:iCs/>
          <w:color w:val="555555"/>
          <w:sz w:val="20"/>
          <w:szCs w:val="20"/>
        </w:rPr>
        <w:t xml:space="preserve">Illustrative only. Actual returns depend on financial performance, market conditions, and the specific ownership percentage negotiated in the Operating Agreement. This is not an offer of securities. Consult your attorney and financial advisor.</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E: Incumbent Restaurant Competitive Landscape</w:t>
      </w:r>
    </w:p>
    <w:p>
      <w:pPr>
        <w:spacing w:before="60" w:after="80"/>
      </w:pPr>
      <w:r>
        <w:rPr>
          <w:rFonts w:ascii="Arial" w:cs="Arial" w:eastAsia="Arial" w:hAnsi="Arial"/>
          <w:color w:val="1A1A1A"/>
          <w:sz w:val="22"/>
          <w:szCs w:val="22"/>
        </w:rPr>
        <w:t xml:space="preserve">The Las Cruces dining market is anchored by deeply entrenched, multi-generational family restaurants with fierce customer loyalty. Understanding these incumbents -- who they serve, at what price points, and on which dining occasions -- is essential to defining exactly where the Hub captures share versus where it competes head-on.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Strategic Context</w:t>
            </w:r>
          </w:p>
          <w:p>
            <w:pPr>
              <w:spacing w:before="40"/>
            </w:pPr>
            <w:r>
              <w:rPr>
                <w:rFonts w:ascii="Arial" w:cs="Arial" w:eastAsia="Arial" w:hAnsi="Arial"/>
                <w:color w:val="1A1A1A"/>
                <w:sz w:val="21"/>
                <w:szCs w:val="21"/>
              </w:rPr>
              <w:t xml:space="preserve">The Hub does not compete with these restaurants for the same customers on the same occasions. It creates a new occasion: the multi-concept social food destination. Customers who visit Chope's for Sunday family dinner are not substituting the Hub for Chope's -- they are adding the Hub to their dining rotation for different occasions. The Hub's primary competition for share of dining occasions is the decision to eat at home, not the decision of which NM restaurant to visit.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E.1 Direct Competitive Landscape -- Top 8 Incumbents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2000"/>
        <w:gridCol w:w="1500"/>
        <w:gridCol w:w="29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Restaurant</w:t>
            </w:r>
          </w:p>
        </w:tc>
        <w:tc>
          <w:tcPr>
            <w:tcW w:type="dxa" w:w="1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Price Range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Occasion</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Capacity</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Competition Level</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Chope's Town Bar &amp; Cafe (La Mesa)</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1915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$10-$18</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Weekend family dining; pilgrimage destination; James Beard semifinalist 2024</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 seats; Thu-Sun only</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different location, limited hours, weekend pilgrimage vs. Hub's daily casual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 Posta de Mesilla (Mesilla)</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1939</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$11-$22</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Tourist destination; special occasions; family gatherings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200-350+ seats; two cantinas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tourist-oriented, special occasion; Hub targets weekday/weekly dining occasions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 Nueva Casita Cafe (N. Mesquite)</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1970s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$7-$12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Weekday lunch; affordable family New Mexican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40-60 seats; small, neighborhood feel</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directly competes for affordable, authentic NM occasion; Hub differentiates with variety and social experience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 La Vega's Pecan Grill &amp; Brewery (Telshor)</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$15-$35</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Date night; upscale dining; craft beer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150-200+ seats; brewery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LOW-MEDIUM -- different price segment; Hub's cider bar offers craft beverage alternative without full-service restaurant overhead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Andele Restaurante (Mesilla)</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1984</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$8-$15</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Casual Mexican; locals + tourists; margaritas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80-120 seats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competes for casual Mexican occasion; Hub differentiates with multi-cuisine variety</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Paisano Cafe (Downtown)</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$12-$24</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Upscale Latin fusion; creative dishes; downtown dinner</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 seats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 different market segment; Hub's downtown activation is additive to downtown dining scene not competitive with Paisano</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 Senor Mexican Restaurant (Multiple)</w:t>
            </w:r>
          </w:p>
        </w:tc>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1990s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$6-$12</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Value Mexican; convenience; drive-thru</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Multiple locations, 60-100 seats each</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QSR/fast casual value positioning; Hub is experiential and social, not transactional</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Sombrero Patio Cafe (Union Ave)</w:t>
            </w:r>
          </w:p>
        </w:tc>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1950s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$8-$14</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Casual; famous for fiery red chile; local institution</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 seats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directly competes for the authentic, affordable, local-institution occasion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E.2 The Hub's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Dimension</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Incumbent Restaurants</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Culinary Innovation Hub</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Cuisine variety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Single concept (one cuisine)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10-13 concepts simultaneously -- every visit offers a different choice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Dining occasion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Fixed menu, single experience</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Mix and match; groups with different preferences all served</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Beverage destination</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Beer/margaritas (most); wine (some)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Only dedicated craft cider bar in southern NM; 20-25 rotating taps; Cider Club</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Social programming</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None or minimal</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Weekly trivia, live music, Loteria nights, monthly cultural festivals -- the Hub IS the evening destination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Entrepreneurship story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businesses</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Active incubator -- visiting is participating in a food entrepreneur's launch journey</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Price comparison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$7-$35 (wide range)</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$12-$20 per person; cider $8-$12 per pour; accessible across income levels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Days/hours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Variable; many closed Mon-Tue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11am-10pm, 7 days, 365 days -- the most consistent option in Las Cruces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F: Operational Systems -- Grease Management, POS, and Buildout Timeline</w:t>
      </w:r>
    </w:p>
    <w:p>
      <w:pPr>
        <w:pStyle w:val="Heading2"/>
        <w:spacing w:before="320" w:after="100"/>
      </w:pPr>
      <w:r>
        <w:rPr>
          <w:rFonts w:ascii="Arial" w:cs="Arial" w:eastAsia="Arial" w:hAnsi="Arial"/>
          <w:b/>
          <w:bCs/>
          <w:color w:val="2563A8"/>
          <w:sz w:val="28"/>
          <w:szCs w:val="28"/>
        </w:rPr>
        <w:t xml:space="preserve">F.1 Grease Interceptor and FOG Compliance Plan</w:t>
      </w:r>
    </w:p>
    <w:p>
      <w:pPr>
        <w:spacing w:before="60" w:after="80"/>
      </w:pPr>
      <w:r>
        <w:rPr>
          <w:rFonts w:ascii="Arial" w:cs="Arial" w:eastAsia="Arial" w:hAnsi="Arial"/>
          <w:color w:val="1A1A1A"/>
          <w:sz w:val="22"/>
          <w:szCs w:val="22"/>
        </w:rPr>
        <w:t xml:space="preserve">Las Cruces Utilities administers the FOG (Fats, Oils, and Grease) program under Municipal Code Section 28-186 et seq. All food service establishments are required to install, use, and maintain a grease interceptor. With 10-13 commercial kitchen stalls each generating significant grease discharge, this is a major infrastructure and ongoing compliance item.</w:t>
      </w:r>
    </w:p>
    <w:p>
      <w:pPr>
        <w:spacing w:before="80" w:after="80"/>
      </w:pPr>
      <w:r>
        <w:t xml:space="preserve"/>
      </w:r>
    </w:p>
    <w:p>
      <w:pPr>
        <w:spacing w:before="220" w:after="80"/>
      </w:pPr>
      <w:r>
        <w:rPr>
          <w:rFonts w:ascii="Arial" w:cs="Arial" w:eastAsia="Arial" w:hAnsi="Arial"/>
          <w:b/>
          <w:bCs/>
          <w:color w:val="14746F"/>
          <w:sz w:val="24"/>
          <w:szCs w:val="24"/>
        </w:rPr>
        <w:t xml:space="preserve">Sizing Requirement</w:t>
      </w:r>
    </w:p>
    <w:p>
      <w:pPr>
        <w:spacing w:before="60" w:after="80"/>
      </w:pPr>
      <w:r>
        <w:rPr>
          <w:rFonts w:ascii="Arial" w:cs="Arial" w:eastAsia="Arial" w:hAnsi="Arial"/>
          <w:color w:val="1A1A1A"/>
          <w:sz w:val="22"/>
          <w:szCs w:val="22"/>
        </w:rPr>
        <w:t xml:space="preserve">Each kitchen stall generates approximately 24-29 Drainage Fixture Units (DFUs) from its 3-compartment sink, prep sink, floor drains, mop sink, and pre-rinse station. With 10-13 stalls producing 240-377 raw DFUs (effective 150-250 DFUs after diversity factors), NM Plumbing Code (UPC 2021 Table 1014.3.6) requires a system exceeding the standard 2,000-gallon threshold. The recommended configuration is a 2,000-3,000 gallon gravity grease interceptor (GGI), either as a single unit or two 1,500-gallon units for separate kitchen zones. A licensed professional engineer must seal the sizing calculations before permit submission.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Component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Low Estimate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High Estimate</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GGI Unit(s) -- 2,000-3,000 gallon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$25,000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Concrete or fiberglass; two smaller units may offer better maintenance access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Excavation, piping, connections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Higher for retrofit; lower for new construction with pre-planned utility trenching</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Professional Engineering (PE-sealed sizing)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for permit submission; plan for concurrent with architectural drawings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Permits and Inspections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Separate from building permit; Las Cruces Utilities review required</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 Initial Installation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$46,500</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Budget $35,000 as planning figure; include in Phase 2 buildout cost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Annual Maintenance (quarterly pump-out)</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$2,400</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 pump-outs/year at $300-$600 each; licensed waste hauler required</w:t>
            </w:r>
          </w:p>
        </w:tc>
      </w:tr>
    </w:tbl>
    <w:p>
      <w:pPr>
        <w:spacing w:before="80" w:after="80"/>
      </w:pPr>
      <w:r>
        <w:t xml:space="preserve"/>
      </w:r>
    </w:p>
    <w:p>
      <w:pPr>
        <w:spacing w:before="220" w:after="80"/>
      </w:pPr>
      <w:r>
        <w:rPr>
          <w:rFonts w:ascii="Arial" w:cs="Arial" w:eastAsia="Arial" w:hAnsi="Arial"/>
          <w:b/>
          <w:bCs/>
          <w:color w:val="14746F"/>
          <w:sz w:val="24"/>
          <w:szCs w:val="24"/>
        </w:rPr>
        <w:t xml:space="preserve">Ongoing Compliance Requirements</w:t>
      </w:r>
    </w:p>
    <w:p>
      <w:pPr>
        <w:pStyle w:val="ListParagraph"/>
        <w:numPr>
          <w:ilvl w:val="0"/>
          <w:numId w:val="2"/>
        </w:numPr>
        <w:spacing w:before="40" w:after="40"/>
      </w:pPr>
      <w:r>
        <w:rPr>
          <w:rFonts w:ascii="Arial" w:cs="Arial" w:eastAsia="Arial" w:hAnsi="Arial"/>
          <w:color w:val="1A1A1A"/>
          <w:sz w:val="22"/>
          <w:szCs w:val="22"/>
        </w:rPr>
        <w:t xml:space="preserve">Cleaning: at least every 90 days; immediately if grease layer exceeds 25% of total interceptor liquid depth</w:t>
      </w:r>
    </w:p>
    <w:p>
      <w:pPr>
        <w:pStyle w:val="ListParagraph"/>
        <w:numPr>
          <w:ilvl w:val="0"/>
          <w:numId w:val="2"/>
        </w:numPr>
        <w:spacing w:before="40" w:after="40"/>
      </w:pPr>
      <w:r>
        <w:rPr>
          <w:rFonts w:ascii="Arial" w:cs="Arial" w:eastAsia="Arial" w:hAnsi="Arial"/>
          <w:color w:val="1A1A1A"/>
          <w:sz w:val="22"/>
          <w:szCs w:val="22"/>
        </w:rPr>
        <w:t xml:space="preserve">In-sink drain strainers required on all fixtures -- garbage disposals prohibited unless 1,000+ gallon interceptor in use</w:t>
      </w:r>
    </w:p>
    <w:p>
      <w:pPr>
        <w:pStyle w:val="ListParagraph"/>
        <w:numPr>
          <w:ilvl w:val="0"/>
          <w:numId w:val="2"/>
        </w:numPr>
        <w:spacing w:before="40" w:after="40"/>
      </w:pPr>
      <w:r>
        <w:rPr>
          <w:rFonts w:ascii="Arial" w:cs="Arial" w:eastAsia="Arial" w:hAnsi="Arial"/>
          <w:color w:val="1A1A1A"/>
          <w:sz w:val="22"/>
          <w:szCs w:val="22"/>
        </w:rPr>
        <w:t xml:space="preserve">Waste discharge temperature maximum: 140 degrees F</w:t>
      </w:r>
    </w:p>
    <w:p>
      <w:pPr>
        <w:pStyle w:val="ListParagraph"/>
        <w:numPr>
          <w:ilvl w:val="0"/>
          <w:numId w:val="2"/>
        </w:numPr>
        <w:spacing w:before="40" w:after="40"/>
      </w:pPr>
      <w:r>
        <w:rPr>
          <w:rFonts w:ascii="Arial" w:cs="Arial" w:eastAsia="Arial" w:hAnsi="Arial"/>
          <w:color w:val="1A1A1A"/>
          <w:sz w:val="22"/>
          <w:szCs w:val="22"/>
        </w:rPr>
        <w:t xml:space="preserve">No chemical grease dispersants unless specifically approved by Las Cruces Utilities</w:t>
      </w:r>
    </w:p>
    <w:p>
      <w:pPr>
        <w:pStyle w:val="ListParagraph"/>
        <w:numPr>
          <w:ilvl w:val="0"/>
          <w:numId w:val="2"/>
        </w:numPr>
        <w:spacing w:before="40" w:after="40"/>
      </w:pPr>
      <w:r>
        <w:rPr>
          <w:rFonts w:ascii="Arial" w:cs="Arial" w:eastAsia="Arial" w:hAnsi="Arial"/>
          <w:color w:val="1A1A1A"/>
          <w:sz w:val="22"/>
          <w:szCs w:val="22"/>
        </w:rPr>
        <w:t xml:space="preserve">Monthly visual inspection of grease level by designated Hub Operations Manager</w:t>
      </w:r>
    </w:p>
    <w:p>
      <w:pPr>
        <w:pStyle w:val="ListParagraph"/>
        <w:numPr>
          <w:ilvl w:val="0"/>
          <w:numId w:val="2"/>
        </w:numPr>
        <w:spacing w:before="40" w:after="40"/>
      </w:pPr>
      <w:r>
        <w:rPr>
          <w:rFonts w:ascii="Arial" w:cs="Arial" w:eastAsia="Arial" w:hAnsi="Arial"/>
          <w:color w:val="1A1A1A"/>
          <w:sz w:val="22"/>
          <w:szCs w:val="22"/>
        </w:rPr>
        <w:t xml:space="preserve">Annual review of interceptor sizing adequacy as vendor mix changes (high-fryer concepts generate more FOG than salad/grain concepts)</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F.2 POS System Selection: Tabski Recommended</w:t>
      </w:r>
    </w:p>
    <w:p>
      <w:pPr>
        <w:spacing w:before="60" w:after="80"/>
      </w:pPr>
      <w:r>
        <w:rPr>
          <w:rFonts w:ascii="Arial" w:cs="Arial" w:eastAsia="Arial" w:hAnsi="Arial"/>
          <w:color w:val="1A1A1A"/>
          <w:sz w:val="22"/>
          <w:szCs w:val="22"/>
        </w:rPr>
        <w:t xml:space="preserve">Note on commissary kitchen technology: The Hub's commissary kitchen (hourly rental, monthly membership) has different software needs from the vendor stall POS system. The Kitchen Table Santa Fe (Santa Fe, NM's closest comparable commissary kitchen) uses The Food Corridor (thefoodcorridor.com) -- a platform purpose-built for shared kitchen scheduling and billing, distinct from Tabski's food hall vendor management focus. Evaluate The Food Corridor for the commissary component before buildout begins. The selection of the Hub's unified vendor stall point-of-sale platform is one of the most consequential technology decisions for the food hall side of the project. A general-purpose restaurant POS (Toast, Square, Lightspeed) creates 8-12 hours per week of manual administrative overhead for percentage-rent reconciliation, multi-vendor reporting, and grant impact tracking. Tabski, the only POS purpose-built for food halls, eliminates that overhead through native multi-vendor architecture.</w:t>
      </w:r>
    </w:p>
    <w:p>
      <w:pPr>
        <w:spacing w:before="80" w:after="8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600"/>
        <w:gridCol w:w="1700"/>
        <w:gridCol w:w="1760"/>
      </w:tblGrid>
      <w:tr>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Capability</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Tabski</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Toast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Square for Restaurants</w:t>
            </w:r>
          </w:p>
        </w:tc>
        <w:tc>
          <w:tcPr>
            <w:tcW w:type="dxa" w:w="1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Lightspeed</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Multi-vendor single checkout</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native; guest orders from multiple stalls in one cart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 separate transaction at each stall</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Automated % rent collection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Yes -- daily auto-deduction from each vendor's sales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 manual spreadsheet reconciliation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 manual</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Per-vendor sales reporting</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 real-time dashboard per vendor</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(separate accounts per vendor)</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Basic</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Yes (with setup)</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Multi-vendor KDS routing</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Yes -- native order routing per stall</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Requires workarounds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Basic only</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Basic</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cost per vendor</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$94 all-in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~$165+ (hardware lease + software)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$0-$149/vendor</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$69-$399/vendor</w:t>
            </w:r>
          </w:p>
        </w:tc>
      </w:tr>
      <w:tr>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Contract terms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Month-to-month; 30-day cancel</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year contracts typical</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 contract</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 year</w:t>
            </w:r>
          </w:p>
        </w:tc>
      </w:tr>
      <w:tr>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 hall references</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dozens of food hall clients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Rare; not native use case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Very rare</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Very rare</w:t>
            </w:r>
          </w:p>
        </w:tc>
      </w:tr>
    </w:tbl>
    <w:p>
      <w:pPr>
        <w:spacing w:before="80" w:after="80"/>
      </w:pPr>
      <w:r>
        <w:t xml:space="preserve"/>
      </w:r>
    </w:p>
    <w:p>
      <w:pPr>
        <w:spacing w:before="240" w:after="80"/>
      </w:pPr>
      <w:r>
        <w:rPr>
          <w:b/>
          <w:sz w:val="26"/>
          <w:szCs w:val="26"/>
          <w:color w:val="1B3A5C"/>
          <w:rFonts w:ascii="Georgia" w:hAnsi="Georgia"/>
        </w:rPr>
        <w:t>F.4 Mobile Ordering and Digital Commerce — Tabski Integration Path</w:t>
      </w:r>
    </w:p>
    <w:p>
      <w:pPr>
        <w:spacing w:before="60" w:after="80"/>
      </w:pPr>
      <w:r>
        <w:rPr>
          <w:sz w:val="22"/>
          <w:szCs w:val="22"/>
        </w:rPr>
        <w:t xml:space="preserve">Tabski’s native POS architecture handles multi-vendor back-end operations. The consumer-facing mobile ordering layer — allowing guests to browse menus, pre-order pickup, and manage loyalty across all vendor stalls — requires a separate evaluation during Phase 2 (Months 4–7). Three integration paths exist:</w:t>
      </w:r>
    </w:p>
    <w:p>
      <w:pPr>
        <w:spacing w:before="60" w:after="60"/>
        <w:numPr>
          <w:ilvl w:val="0"/>
          <w:numId w:val="3"/>
        </w:numPr>
      </w:pPr>
      <w:r>
        <w:rPr>
          <w:b/>
          <w:sz w:val="22"/>
          <w:szCs w:val="22"/>
        </w:rPr>
        <w:t xml:space="preserve">Tabski Native Online Ordering: </w:t>
      </w:r>
      <w:r>
        <w:rPr>
          <w:sz w:val="22"/>
          <w:szCs w:val="22"/>
        </w:rPr>
        <w:t>Confirm with Tabski whether their platform includes a guest-facing online ordering module with multi-vendor checkout, loyalty, and push notifications. If yes, this is the lowest-cost and simplest path — no third-party integration required. Evaluate during Phase 2 vendor selection conversations.</w:t>
      </w:r>
    </w:p>
    <w:p>
      <w:pPr>
        <w:spacing w:before="60" w:after="60"/>
        <w:numPr>
          <w:ilvl w:val="0"/>
          <w:numId w:val="3"/>
        </w:numPr>
      </w:pPr>
      <w:r>
        <w:rPr>
          <w:b/>
          <w:sz w:val="22"/>
          <w:szCs w:val="22"/>
        </w:rPr>
        <w:t xml:space="preserve">White-Label Food Hall App (Third-Party via Tabski API): </w:t>
      </w:r>
      <w:r>
        <w:rPr>
          <w:sz w:val="22"/>
          <w:szCs w:val="22"/>
        </w:rPr>
        <w:t>Platforms such as Olo, Lunchbox, or purpose-built food hall app vendors integrate with Tabski via API, providing a branded guest experience while routing orders to Tabski’s KDS. These typically cost $200–$600/month plus setup. Strongest option if Tabski’s native ordering module is limited.</w:t>
      </w:r>
    </w:p>
    <w:p>
      <w:pPr>
        <w:spacing w:before="60" w:after="60"/>
        <w:numPr>
          <w:ilvl w:val="0"/>
          <w:numId w:val="3"/>
        </w:numPr>
      </w:pPr>
      <w:r>
        <w:rPr>
          <w:b/>
          <w:sz w:val="22"/>
          <w:szCs w:val="22"/>
        </w:rPr>
        <w:t xml:space="preserve">QR-Code Web Ordering (Launch Minimum): </w:t>
      </w:r>
      <w:r>
        <w:rPr>
          <w:sz w:val="22"/>
          <w:szCs w:val="22"/>
        </w:rPr>
        <w:t>If a full app is not ready for Grand Opening, a QR-code-linked web ordering system (table QR codes, pickup station QR codes) provides immediate digital ordering capability at near-zero incremental cost while the full app is built. This is acceptable as a 90-day bridge, not a permanent solution.</w:t>
      </w:r>
    </w:p>
    <w:p>
      <w:pPr>
        <w:spacing w:before="80" w:after="80"/>
      </w:pPr>
      <w:r>
        <w:rPr>
          <w:b/>
          <w:sz w:val="22"/>
          <w:szCs w:val="22"/>
          <w:color w:val="8B3A2E"/>
        </w:rPr>
        <w:t xml:space="preserve">Recommendation: </w:t>
      </w:r>
      <w:r>
        <w:rPr>
          <w:sz w:val="22"/>
          <w:szCs w:val="22"/>
        </w:rPr>
        <w:t>Do not build a custom app from scratch. Evaluate Tabski’s native online ordering first. If insufficient, select a third-party food hall app with a proven Tabski integration. Budget $2,400–$7,200/year for the digital commerce layer, separate from Tabski’s base $11,280/year POS cost. See Section 6.4 for the full strategic rationale and customer experience design. Note: this section is numbered F.4 to avoid conflict with Appendix F financial statements which use F.3 for the Statement of Cash Flows.</w:t>
      </w:r>
    </w:p>
    <w:p>
      <w:pPr>
        <w:spacing w:before="220" w:after="80"/>
      </w:pPr>
      <w:r>
        <w:rPr>
          <w:rFonts w:ascii="Arial" w:cs="Arial" w:eastAsia="Arial" w:hAnsi="Arial"/>
          <w:b/>
          <w:bCs/>
          <w:color w:val="14746F"/>
          <w:sz w:val="24"/>
          <w:szCs w:val="24"/>
        </w:rPr>
        <w:t xml:space="preserve">Tabski Cost at Hub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Item</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Year 1</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Ongoing/Year</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Software license (10 vendors x $94/month x 12)</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$11,280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$11,280</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Hardware (10 touchscreen terminals x $1,200 avg)</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 (owned outright)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Setup and onboarding ($99/vendor x 10)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$990 (new vendors only)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Payment processing (2.9% of sales; shared with vendor)</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Variable</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Variable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(Year 1 including hardware)</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~$24,270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~$12,270+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F.3 Realistic Buildout Timeline and Construction Contingency</w:t>
      </w:r>
    </w:p>
    <w:p>
      <w:pPr>
        <w:spacing w:before="60" w:after="80"/>
      </w:pPr>
      <w:r>
        <w:rPr>
          <w:rFonts w:ascii="Arial" w:cs="Arial" w:eastAsia="Arial" w:hAnsi="Arial"/>
          <w:color w:val="1A1A1A"/>
          <w:sz w:val="22"/>
          <w:szCs w:val="22"/>
        </w:rPr>
        <w:t xml:space="preserve">The main roadmap schedules full buildout completion in Months 8-10 (three months). Research into New Mexico permitting timelines, contractor availability, and comparable adaptive reuse food hall projects reveals this is highly optimistic. A realistic timeline from site lease execution to Grand Opening requires 5-7 months of construction activity, plus a 4-week minimum contingency buffer.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Construction Phase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Optimistic Duration</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Realistic Duration</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Las Cruces Specific Risks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Demolition and site preparation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 weeks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 weeks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Asbestos in older buildings adds 2-6 weeks and $15,000-$50,000; environmental assessment recommended before lease signing</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Rough-in MEP (electrical, plumbing, gas)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6-8 weeks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8-12 weeks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 Paso Electric transformer upgrades for insufficient service: 4-8 week lead time; plan electrical capacity requirements before lease signing</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Hood systems and fire suppression (per stall)</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3-4 weeks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4-6 weeks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 State Fire Marshal plan review: 15 business days per fire protection plan; specialty contractors (commercial hood, Ansul systems) may need to come from Albuquerque or El Paso</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Finish work (floors, walls, counters, common areas)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 weeks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4-6 weeks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Epoxy flooring for 10-13 kitchens; FRP wall panels; grease interceptor installation concurrent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installation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weeks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 weeks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fabrication lead times: 6-12 weeks for commercial kitchen equipment; ORDER IN PHASE 2, not Phase 3</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Final inspections and punch list</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2-3 weeks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 weeks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pre-opening inspection per stall (separate for each of 13 establishments); Certificate of Occupancy; fire marshal acceptance testing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Revised Timeline Recommendation</w:t>
            </w:r>
          </w:p>
          <w:p>
            <w:pPr>
              <w:spacing w:before="40"/>
            </w:pPr>
            <w:r>
              <w:rPr>
                <w:rFonts w:ascii="Arial" w:cs="Arial" w:eastAsia="Arial" w:hAnsi="Arial"/>
                <w:color w:val="1A1A1A"/>
                <w:sz w:val="21"/>
                <w:szCs w:val="21"/>
              </w:rPr>
              <w:t xml:space="preserve">Total construction from lease execution to Grand Opening: 5-7 months of active construction plus a mandatory 4-week contingency buffer. The roadmap should be updated to: Phase 2 lease execution Month 5 (not Month 3); buildout Months 5-11; soft opening Month 11; Grand Opening Month 12. This pushes the Grand Opening from October 2026 to approximately February-April 2027 depending on lease signing date. The October 2026 target is achievable ONLY if the site lease is signed by April 2026 and all permits are in parallel-path processing by May 2026. Engage a Las Cruces commercial general contractor for a formal timeline and cost estimate before committing to a specific Grand Opening date in any investor materials.</w:t>
            </w:r>
          </w:p>
        </w:tc>
      </w:tr>
    </w:tbl>
    <w:p>
      <w:pPr>
        <w:spacing w:before="80" w:after="80"/>
      </w:pPr>
      <w:r>
        <w:t xml:space="preserve"/>
      </w:r>
    </w:p>
    <w:p>
      <w:pPr>
        <w:spacing w:before="220" w:after="80"/>
      </w:pPr>
      <w:r>
        <w:rPr>
          <w:rFonts w:ascii="Arial" w:cs="Arial" w:eastAsia="Arial" w:hAnsi="Arial"/>
          <w:b/>
          <w:bCs/>
          <w:color w:val="14746F"/>
          <w:sz w:val="24"/>
          <w:szCs w:val="24"/>
        </w:rPr>
        <w:t xml:space="preserve">Construction Contingency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500"/>
        <w:gridCol w:w="24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Contingency Item</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Probability</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 Cost Impact</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Mitigation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Asbestos discovery in existing building</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-- 35% for pre-1990 buildings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$15,000-$50,000; 2-6 week delay</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Pre-lease environmental assessment; negotiate remediation into lease terms or seller contribution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Electrical service upgrade needed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-- 60% for commercial food hall load</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$10,000-$30,000; 4-8 week EP Electric lead time</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service capacity in Phase 1 site due diligence before lease execution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Equipment fabrication delay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-- 50% in current supply chain environment</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 cost; 2-8 week opening delay</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Order all commercial kitchen equipment in Month 5-6 (Phase 2), not Month 8-9 (Phase 3)</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NMED per-stall inspection scheduling delays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-- 30%</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 cost; 1-3 week delay</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Submit all 13 stall permit applications simultaneously; coordinate batch inspection scheduling with NMED</w:t>
            </w:r>
          </w:p>
        </w:tc>
      </w:tr>
    </w:tbl>
    <w:p>
      <w:pPr>
        <w:spacing w:before="60" w:after="80"/>
      </w:pPr>
      <w:r>
        <w:rPr>
          <w:rFonts w:ascii="Arial" w:cs="Arial" w:eastAsia="Arial" w:hAnsi="Arial"/>
          <w:color w:val="1A1A1A"/>
          <w:sz w:val="22"/>
          <w:szCs w:val="22"/>
        </w:rPr>
        <w:t xml:space="preserve">Formal 10% construction contingency budget: $65,000-$90,000. This should be held in reserve and released only for documented scope changes, not general cost overruns.</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G: Ghost Kitchen Delivery Model and Platform Strategy</w:t>
      </w:r>
    </w:p>
    <w:p>
      <w:pPr>
        <w:spacing w:before="60" w:after="80"/>
      </w:pPr>
      <w:r>
        <w:rPr>
          <w:rFonts w:ascii="Arial" w:cs="Arial" w:eastAsia="Arial" w:hAnsi="Arial"/>
          <w:color w:val="1A1A1A"/>
          <w:sz w:val="22"/>
          <w:szCs w:val="22"/>
        </w:rPr>
        <w:t xml:space="preserve">The Hub's 2 ghost kitchen bays are projected to generate $36,000-$48,000/year in rent plus 8% of delivery sales commissions. This supplement addresses the delivery platform landscape in Las Cruces, the true cost structure of third-party delivery, and the recommended approach to making ghost kitchen revenue a viable line item rather than a theoretical one.</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G.1 Delivery Platform Presence in Las Cruces</w:t>
      </w:r>
    </w:p>
    <w:p>
      <w:pPr>
        <w:spacing w:before="60" w:after="80"/>
      </w:pPr>
      <w:r>
        <w:rPr>
          <w:rFonts w:ascii="Arial" w:cs="Arial" w:eastAsia="Arial" w:hAnsi="Arial"/>
          <w:color w:val="1A1A1A"/>
          <w:sz w:val="22"/>
          <w:szCs w:val="22"/>
        </w:rPr>
        <w:t xml:space="preserve">All three major delivery platforms are active in Las Cruces. DoorDash leads nationally with approximately 67% market share and has the broadest local coverage. Uber Eats is active with strong NMSU campus penetration. Grubhub has lighter presence in smaller markets. Two local delivery services -- Lodel and OrangeCrate -- also operate, confirming delivery demand exists in the market.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G.2 True Cost of Delivery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500"/>
        <w:gridCol w:w="1500"/>
        <w:gridCol w:w="27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Platform</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Listed Commission</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Additional Fees</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True Total Cost</w:t>
            </w:r>
          </w:p>
        </w:tc>
        <w:tc>
          <w:tcPr>
            <w:tcW w:type="dxa" w:w="2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Net Margin Impact</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DoorDash Basic</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Payment processing 2.9%; promotional fees 1-3%; tablet/hardware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~20-22% of delivery revenue</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Menu priced 15-20% higher to compensate; effective margin: 78-80% of list price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DoorDash Plus / Premier</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25-30%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 as above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~28-35% of delivery revenue</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Required for priority placement; most ghost kitchens opt for Plus at minimum</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Uber Eats Lite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 (raised from 15% March 2025)</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Processing 2.9%; promotional</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~24-26%</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Similar economics to DoorDash Plus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Uber Eats Plus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25-30%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Same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~28-33%</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Top-tier placement; higher volume potential</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Grubhub</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15-30% (package dependent)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Processing; marketing fees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~20-35%</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Lighter Las Cruces presence; lower priority for initial launch</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The 40% Rule</w:t>
            </w:r>
          </w:p>
          <w:p>
            <w:pPr>
              <w:spacing w:before="40"/>
            </w:pPr>
            <w:r>
              <w:rPr>
                <w:rFonts w:ascii="Arial" w:cs="Arial" w:eastAsia="Arial" w:hAnsi="Arial"/>
                <w:color w:val="1A1A1A"/>
                <w:sz w:val="21"/>
                <w:szCs w:val="21"/>
              </w:rPr>
              <w:t xml:space="preserve">When all platform fees, payment processing, marketing contributions, and refund absorptions are included, true per-order platform costs routinely exceed 40% of delivery revenue. Ghost kitchen operators must price delivery menus 15-20% above in-stall prices to achieve equivalent margins. Hub ghost kitchen operators are coached on this pricing strategy as part of incubator onboarding.</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G.3 Ghost Kitchen Revenue Projections -- Revised and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Conservative</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Growth</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Daily delivery orders (per bay, at stabilization)</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15-25 orders/day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35-55 orders/day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Average order value</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$22-$28</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$25-$30</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Monthly gross delivery revenue per bay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$9,900-$21,000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$26,250-$49,500</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Platform commission (25% avg)</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($2,475-$5,250)</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($6,562-$12,375)</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Net delivery revenue to operator per bay/month</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$7,425-$15,750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$19,688-$37,125</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Hub's 8% commission on gross delivery revenue</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$792-$1,680/bay</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$2,100-$3,960/bay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base rent per bay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$1,500-$2,000/bay</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$1,500-$2,000/bay</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Total Hub revenue per ghost bay per month</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$2,292-$3,680</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$3,600-$5,960</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Hub revenue -- 2 ghost bays, annual</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$55,000-$88,000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$86,000-$143,000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G.4 Ghost Kitchen Operator Customer Acquisition Plan</w:t>
      </w:r>
    </w:p>
    <w:p>
      <w:pPr>
        <w:pStyle w:val="ListParagraph"/>
        <w:numPr>
          <w:ilvl w:val="0"/>
          <w:numId w:val="2"/>
        </w:numPr>
        <w:spacing w:before="40" w:after="40"/>
      </w:pPr>
      <w:r>
        <w:rPr>
          <w:rFonts w:ascii="Arial" w:cs="Arial" w:eastAsia="Arial" w:hAnsi="Arial"/>
          <w:color w:val="1A1A1A"/>
          <w:sz w:val="22"/>
          <w:szCs w:val="22"/>
        </w:rPr>
        <w:t xml:space="preserve">Platform optimization: ghost kitchen operators complete DoorDash and Uber Eats merchant training; Hub marketing specialist assists with menu photography and listing optimization</w:t>
      </w:r>
    </w:p>
    <w:p>
      <w:pPr>
        <w:pStyle w:val="ListParagraph"/>
        <w:numPr>
          <w:ilvl w:val="0"/>
          <w:numId w:val="2"/>
        </w:numPr>
        <w:spacing w:before="40" w:after="40"/>
      </w:pPr>
      <w:r>
        <w:rPr>
          <w:rFonts w:ascii="Arial" w:cs="Arial" w:eastAsia="Arial" w:hAnsi="Arial"/>
          <w:color w:val="1A1A1A"/>
          <w:sz w:val="22"/>
          <w:szCs w:val="22"/>
        </w:rPr>
        <w:t xml:space="preserve">Physical cross-promotion: insert ghost kitchen brand marketing in all Hub dining customer bags and at cider bar; convert dine-in customers to repeat delivery orderers</w:t>
      </w:r>
    </w:p>
    <w:p>
      <w:pPr>
        <w:pStyle w:val="ListParagraph"/>
        <w:numPr>
          <w:ilvl w:val="0"/>
          <w:numId w:val="2"/>
        </w:numPr>
        <w:spacing w:before="40" w:after="40"/>
      </w:pPr>
      <w:r>
        <w:rPr>
          <w:rFonts w:ascii="Arial" w:cs="Arial" w:eastAsia="Arial" w:hAnsi="Arial"/>
          <w:color w:val="1A1A1A"/>
          <w:sz w:val="22"/>
          <w:szCs w:val="22"/>
        </w:rPr>
        <w:t xml:space="preserve">NMSU and office catering: target NMSU campus (14,000+ students) and downtown office clusters with catering packages -- a high-converting, margin-preserving revenue channel that bypasses platform commissions entirely</w:t>
      </w:r>
    </w:p>
    <w:p>
      <w:pPr>
        <w:pStyle w:val="ListParagraph"/>
        <w:numPr>
          <w:ilvl w:val="0"/>
          <w:numId w:val="2"/>
        </w:numPr>
        <w:spacing w:before="40" w:after="40"/>
      </w:pPr>
      <w:r>
        <w:rPr>
          <w:rFonts w:ascii="Arial" w:cs="Arial" w:eastAsia="Arial" w:hAnsi="Arial"/>
          <w:color w:val="1A1A1A"/>
          <w:sz w:val="22"/>
          <w:szCs w:val="22"/>
        </w:rPr>
        <w:t xml:space="preserve">Direct ordering migration: after 3 months on platforms, migrate repeat customers to a Hub-hosted direct ordering page (lower fees, direct relationship) using QR codes in every delivery bag</w:t>
      </w:r>
    </w:p>
    <w:p>
      <w:pPr>
        <w:pStyle w:val="ListParagraph"/>
        <w:numPr>
          <w:ilvl w:val="0"/>
          <w:numId w:val="2"/>
        </w:numPr>
        <w:spacing w:before="40" w:after="40"/>
      </w:pPr>
      <w:r>
        <w:rPr>
          <w:rFonts w:ascii="Arial" w:cs="Arial" w:eastAsia="Arial" w:hAnsi="Arial"/>
          <w:color w:val="1A1A1A"/>
          <w:sz w:val="22"/>
          <w:szCs w:val="22"/>
        </w:rPr>
        <w:t xml:space="preserve">Google Business Profile optimization: separate Google Business Profile for each ghost kitchen brand with keyword-optimized description, photos, and response to every review</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H: Vendor Letter of Intent Framework and Pipeline Status</w:t>
      </w:r>
    </w:p>
    <w:p>
      <w:pPr>
        <w:spacing w:before="60" w:after="80"/>
      </w:pPr>
      <w:r>
        <w:rPr>
          <w:rFonts w:ascii="Arial" w:cs="Arial" w:eastAsia="Arial" w:hAnsi="Arial"/>
          <w:color w:val="1A1A1A"/>
          <w:sz w:val="22"/>
          <w:szCs w:val="22"/>
        </w:rPr>
        <w:t xml:space="preserve">The business plan's revenue model depends on 7-8 permanent stalls being operational by Month 9. Without documented vendor commitments, this assumption is theoretical. This supplement defines the formal LOI framework and the status of vendor recruitment as of the plan preparation date.</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H.1 Vendor LOI Framework -- Key Terms</w:t>
      </w:r>
    </w:p>
    <w:p>
      <w:pPr>
        <w:spacing w:before="60" w:after="80"/>
      </w:pPr>
      <w:r>
        <w:rPr>
          <w:rFonts w:ascii="Arial" w:cs="Arial" w:eastAsia="Arial" w:hAnsi="Arial"/>
          <w:color w:val="1A1A1A"/>
          <w:sz w:val="22"/>
          <w:szCs w:val="22"/>
        </w:rPr>
        <w:t xml:space="preserve">All prospective vendors are asked to sign a non-binding Letter of Intent (LOI) during Phase 1 recruitment. The LOI is not a license agreement -- it is a letter of interest that confirms the vendor's intention to apply for a Hub stall pending site confirmation and capital stack completion. LOIs are valuable for grant applications and lender due diligence because they demonstrate real market demand for the Hub's vendor stalls.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LOI Term</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Concept Name and Cuisine Type</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proposed food concept, primary menu category (e.g., Southern BBQ, Mediterranean, Asian Fusion)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Operator Name and Contact</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Legal name and contact information of the operator or operating entity</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Relevant Experience</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Years of culinary and/or business management experience (minimum 3 years required for permanent stall; 3 years culinary for incubator)</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Preferred Track</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anchor stall (2+ year commitment) or incubator stall (12-18 month cohort)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Non-Binding Commitment</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Explicit statement that the LOI is non-binding on either party; binding agreement comes only through executed license agreement</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Estimated Monthly Revenue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Operator's conservative estimate of monthly gross sales (used for Hub's percentage-rent revenue modeling)</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References</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 verifiable professional or culinary references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Signature and Date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Signed by operator; countersigned by Hub founder acknowledging receipt</w:t>
            </w:r>
          </w:p>
        </w:tc>
      </w:tr>
    </w:tbl>
    <w:p>
      <w:pPr>
        <w:spacing w:before="80" w:after="80"/>
      </w:pPr>
      <w:r>
        <w:t xml:space="preserve"/>
      </w:r>
    </w:p>
    <w:p>
      <w:pPr>
        <w:pBdr>
          <w:top w:val="single" w:color="8B3A2E" w:sz="6" w:space="4"/>
          <w:left w:val="thick" w:color="8B3A2E" w:sz="24" w:space="8"/>
        </w:pBdr>
        <w:shd w:fill="FBF0EE" w:val="clear"/>
        <w:spacing w:before="160" w:after="40"/>
      </w:pPr>
      <w:r>
        <w:rPr>
          <w:b/>
          <w:sz w:val="22"/>
          <w:szCs w:val="22"/>
          <w:color w:val="8B3A2E"/>
        </w:rPr>
        <w:t>Hub Signature Restaurant — Owner-Operated Anchor</w:t>
      </w:r>
    </w:p>
    <w:p>
      <w:pPr>
        <w:pBdr>
          <w:left w:val="thick" w:color="8B3A2E" w:sz="24" w:space="8"/>
        </w:pBdr>
        <w:shd w:fill="FBF0EE" w:val="clear"/>
        <w:spacing w:before="40" w:after="40"/>
      </w:pPr>
      <w:r>
        <w:rPr>
          <w:sz w:val="22"/>
          <w:szCs w:val="22"/>
        </w:rPr>
        <w:t xml:space="preserve">One anchor stall is reserved as a proprietary, owner-operated Hub concept. Unlike vendor stalls that pay a percentage license fee, the Hub Signature Restaurant generates 100% of its food revenue directly to the LLC — no split. This creates the highest-margin position in the entire stall portfolio and permanently eliminates anchor vacancy risk on that slot. The concept, cuisine, and chef are selected by the founder in Phase 1; the financial structure is independent of the cuisine choice.</w:t>
      </w:r>
    </w:p>
    <w:p>
      <w:pPr>
        <w:pBdr>
          <w:left w:val="thick" w:color="8B3A2E" w:sz="24" w:space="8"/>
          <w:bottom w:val="single" w:color="8B3A2E" w:sz="6" w:space="4"/>
        </w:pBdr>
        <w:shd w:fill="FBF0EE" w:val="clear"/>
        <w:spacing w:before="40" w:after="120"/>
      </w:pPr>
      <w:r>
        <w:rPr>
          <w:b/>
          <w:sz w:val="20"/>
          <w:szCs w:val="20"/>
          <w:color w:val="1B3A5C"/>
        </w:rPr>
        <w:t xml:space="preserve">Investor note: </w:t>
      </w:r>
      <w:r>
        <w:rPr>
          <w:sz w:val="20"/>
          <w:szCs w:val="20"/>
          <w:color w:val="555555"/>
        </w:rPr>
        <w:t xml:space="preserve">At projected Year 1 revenue of $90,000–$130,000 from one anchor stall at 60–65% gross margin, the Hub Signature Restaurant contributes $54,000–$85,000 in annual gross profit — equivalent to 2–3 vendor stalls each paying a 20% license fee. As an owner-operated brand it also builds proprietary equity and customer loyalty that can be expanded to additional locations.</w:t>
      </w:r>
    </w:p>
    <w:p>
      <w:pPr>
        <w:pStyle w:val="Heading2"/>
        <w:spacing w:before="320" w:after="100"/>
      </w:pPr>
      <w:r>
        <w:rPr>
          <w:rFonts w:ascii="Arial" w:cs="Arial" w:eastAsia="Arial" w:hAnsi="Arial"/>
          <w:b/>
          <w:bCs/>
          <w:color w:val="2563A8"/>
          <w:sz w:val="28"/>
          <w:szCs w:val="28"/>
        </w:rPr>
        <w:t xml:space="preserve">H.2 Vendor Pipeline Status as of Plan Preparation Date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2200"/>
        <w:gridCol w:w="21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Vendor Concept</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Cuisine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Track</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Next Step</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Owner-operated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Priority recruitment target -- active outreach in progress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Formal meeting scheduled; LOI to be presented</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BBQ and Smoked Meats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Southern / BBQ</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Priority recruitment target -- active outreach in progress</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Taste-testing session to be scheduled Month 1</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Mexican Cuisine Anchor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Traditional New Mexican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Pipeline identification Phase 1 -- 3-5 candidates identified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Mexican Street Food</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Tacos / Tortas / Caldos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Pipeline identification Phase 1</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Mediterranean / Plant-Forward</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Mediterranean / Vegetarian</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Permanent Anchor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Pipeline identification Phase 1</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Dessert / Baked Goods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Bakery / Desserts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Permanent or Incubator</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Pipeline identification Phase 1</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Initial conversations to begin Month 1</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Slot 1</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(12-18 mo)</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Applications open Month 2</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Open application process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Slot 2</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Incubator (12-18 mo)</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Applications open Month 2</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Open application process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Slot 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Incubator (12-18 mo)</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Applications open Month 3 (staggered)</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Open application process; 3-6 month offset from Slots 1-2</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Ghost Kitchen Bay 1</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 (delivery-only)</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Ghost Kitchen</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Applications open Month 3</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Recruitment concurrent with incubator pipeline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 Bay 2</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 (delivery-only)</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Ghost Kitchen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Applications open Month 3</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Recruitment concurrent with incubator pipeline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LOI Target for Investor and Lender Presentations</w:t>
            </w:r>
          </w:p>
          <w:p>
            <w:pPr>
              <w:spacing w:before="40"/>
            </w:pPr>
            <w:r>
              <w:rPr>
                <w:rFonts w:ascii="Arial" w:cs="Arial" w:eastAsia="Arial" w:hAnsi="Arial"/>
                <w:color w:val="1A1A1A"/>
                <w:sz w:val="21"/>
                <w:szCs w:val="21"/>
              </w:rPr>
              <w:t xml:space="preserve">Minimum 4-5 signed LOIs should be in hand before any formal investor presentation or SBA loan application submission. The Month 2 milestone in the roadmap (permanent vendor commitments finalized, minimum 6 target 8) must include signed LOIs or executed license agreements, not just verbal interest. Southern BBQ LOI is the immediate Week 1 priority of Phase 1 (Hub Signature Restaurant is owner-operated; no LOI needed) vendor outreach. The Hub Signature Restaurant slot requires chef/concept selection rather than an LOI process.</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Document Integrity Notes</w:t>
      </w:r>
    </w:p>
    <w:p>
      <w:pPr>
        <w:spacing w:before="60" w:after="80"/>
      </w:pPr>
      <w:r>
        <w:rPr>
          <w:rFonts w:ascii="Arial" w:cs="Arial" w:eastAsia="Arial" w:hAnsi="Arial"/>
          <w:color w:val="1A1A1A"/>
          <w:sz w:val="22"/>
          <w:szCs w:val="22"/>
        </w:rPr>
        <w:t xml:space="preserve">Supplements A through H address the critical and high-priority gaps identified in the comprehensive gap analysis of Version 6.1. The following items from the gap analysis are noted as requiring future updates when the relevant information becomes available: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Status</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Required Action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Owner equity -- specific dollar amount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$0 owner cash; equity funded from pre-opening grant awards; see Section 10 grant strategy</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Supplement C and capital stack table when equity commitment is finalized; SBA lender will require documentation of equity source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Specific site address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 -- site search in progress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Update Section 11 when lease is executed; add zoning clearance verification letter to Appendix C documents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Named advisory board members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TBD -- recruitment in progress</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Section 14 when advisors are confirmed; target minimum 2 named advisors with food/beverage operations experience before first investor presentation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Named GM candidate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TBD -- recruitment in progress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Update Section 14 when candidate is identified; GM hire is Month 3 milestone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Social media pre-launch content calendar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 be developed Month 2</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 Specialist (hired Month 3) to develop 90-day pre-launch content calendar with posting cadence, Cider Club pre-registration campaign, and bilingual content plan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Market survey results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 be conducted Month 2</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100-respondent survey results should be inserted into Section 2 and Section 8 when completed; Hub Signature Restaurant concept and cuisine category validation is a specific survey objective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application submission confirmation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Q1-Q2 2026</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Appendix C submission log with confirmed dates, contact names, and tracking numbers as each application is submitted</w:t>
            </w:r>
          </w:p>
        </w:tc>
      </w:tr>
    </w:tbl>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I: Break-Even Sensitivity Analysis</w:t>
      </w:r>
    </w:p>
    <w:p>
      <w:pPr>
        <w:spacing w:before="60" w:after="80"/>
      </w:pPr>
      <w:r>
        <w:rPr>
          <w:rFonts w:ascii="Arial" w:cs="Arial" w:eastAsia="Arial" w:hAnsi="Arial"/>
          <w:color w:val="1A1A1A"/>
          <w:sz w:val="22"/>
          <w:szCs w:val="22"/>
        </w:rPr>
        <w:t xml:space="preserve">This sensitivity analysis shows how the Hub's cumulative break-even month shifts under four occupancy scenarios (60%, 70%, 80%, and 90%) crossed with three utility cost scenarios ($100K, $125K, and $175K per year). The base case -- 80% stabilized occupancy and $150K utilities -- projects break-even at Month 18-20, consistent with the main financial model. The tables and scenario narratives below give investors and lenders clear visibility into how key assumptions affect the timeline.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How to Read This Analysis</w:t>
            </w:r>
          </w:p>
          <w:p>
            <w:pPr>
              <w:spacing w:before="40"/>
            </w:pPr>
            <w:r>
              <w:rPr>
                <w:rFonts w:ascii="Arial" w:cs="Arial" w:eastAsia="Arial" w:hAnsi="Arial"/>
                <w:color w:val="1A1A1A"/>
                <w:sz w:val="21"/>
                <w:szCs w:val="21"/>
              </w:rPr>
              <w:t xml:space="preserve">The break-even month shown is the first month in which the Hub's cumulative cash position (revenue minus all operating costs since soft opening) turns positive. A lower number is better. Color coding: Blue = base case zone (Month 18-22, in line with plan); Green = better than plan (Month 18 or earlier); Gold = moderately extended (Month 23-26); Red = significantly extended (Month 27+). All scenarios assume the same staggered vendor onboarding ramp (55% occupancy at Month 1, reaching the scenario occupancy ceiling by Month 9).</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I.1 Break-Even Month: Occupancy vs. Utility Costs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Utility Cost Scenario</w:t>
            </w:r>
          </w:p>
        </w:tc>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60% Occupancy</w:t>
            </w:r>
          </w:p>
        </w:tc>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70% Occupancy</w:t>
            </w:r>
          </w:p>
        </w:tc>
        <w:tc>
          <w:tcPr>
            <w:tcBorders>
              <w:top w:val="single" w:color="B0C8E8" w:sz="1"/>
              <w:left w:val="single" w:color="B0C8E8" w:sz="1"/>
              <w:bottom w:val="single" w:color="B0C8E8" w:sz="1"/>
              <w:right w:val="single" w:color="B0C8E8" w:sz="1"/>
            </w:tcBorders>
            <w:shd w:fill="2563A8"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80% Occupancy -- Base</w:t>
            </w:r>
          </w:p>
        </w:tc>
        <w:tc>
          <w:tcPr>
            <w:tcBorders>
              <w:top w:val="single" w:color="B0C8E8" w:sz="1"/>
              <w:left w:val="single" w:color="B0C8E8" w:sz="1"/>
              <w:bottom w:val="single" w:color="B0C8E8" w:sz="1"/>
              <w:right w:val="single" w:color="B0C8E8" w:sz="1"/>
            </w:tcBorders>
            <w:shd w:fill="1B3A5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90% Occupancy</w:t>
            </w:r>
          </w:p>
        </w:tc>
      </w:tr>
      <w:tr>
        <w:tc>
          <w:tcPr>
            <w:tcBorders>
              <w:top w:val="single" w:color="B0C8E8" w:sz="1"/>
              <w:left w:val="single" w:color="B0C8E8" w:sz="1"/>
              <w:bottom w:val="single" w:color="B0C8E8" w:sz="1"/>
              <w:right w:val="single" w:color="B0C8E8" w:sz="1"/>
            </w:tcBorders>
            <w:shd w:fill="EEF4FB" w:val="clear"/>
            <w:tcMar>
              <w:top w:type="dxa" w:w="100"/>
              <w:left w:type="dxa" w:w="130"/>
              <w:bottom w:type="dxa" w:w="100"/>
              <w:right w:type="dxa" w:w="130"/>
            </w:tcMar>
            <w:vAlign w:val="center"/>
          </w:tcPr>
          <w:p>
            <w:r>
              <w:rPr>
                <w:rFonts w:ascii="Arial" w:cs="Arial" w:eastAsia="Arial" w:hAnsi="Arial"/>
                <w:b w:val="false"/>
                <w:bCs w:val="false"/>
                <w:color w:val="1A1A1A"/>
                <w:sz w:val="20"/>
                <w:szCs w:val="20"/>
              </w:rPr>
              <w:t xml:space="preserve">$100K/yr ($8,333/mo)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2563A8"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19 mo</w:t>
            </w:r>
          </w:p>
        </w:tc>
      </w:tr>
      <w:tr>
        <w:tc>
          <w:tcPr>
            <w:tcBorders>
              <w:top w:val="single" w:color="B0C8E8" w:sz="1"/>
              <w:left w:val="single" w:color="B0C8E8" w:sz="1"/>
              <w:bottom w:val="single" w:color="B0C8E8" w:sz="1"/>
              <w:right w:val="single" w:color="B0C8E8" w:sz="1"/>
            </w:tcBorders>
            <w:shd w:fill="EEF4FB" w:val="clear"/>
            <w:tcMar>
              <w:top w:type="dxa" w:w="100"/>
              <w:left w:type="dxa" w:w="130"/>
              <w:bottom w:type="dxa" w:w="100"/>
              <w:right w:type="dxa" w:w="130"/>
            </w:tcMar>
            <w:vAlign w:val="center"/>
          </w:tcPr>
          <w:p>
            <w:r>
              <w:rPr>
                <w:rFonts w:ascii="Arial" w:cs="Arial" w:eastAsia="Arial" w:hAnsi="Arial"/>
                <w:b w:val="false"/>
                <w:bCs w:val="false"/>
                <w:color w:val="1A1A1A"/>
                <w:sz w:val="20"/>
                <w:szCs w:val="20"/>
              </w:rPr>
              <w:t xml:space="preserve">$125K/yr ($10,417/mo)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31 mo</w:t>
            </w:r>
          </w:p>
        </w:tc>
      </w:tr>
      <w:tr>
        <w:tc>
          <w:tcPr>
            <w:tcBorders>
              <w:top w:val="single" w:color="B0C8E8" w:sz="1"/>
              <w:left w:val="single" w:color="B0C8E8" w:sz="1"/>
              <w:bottom w:val="single" w:color="B0C8E8" w:sz="1"/>
              <w:right w:val="single" w:color="B0C8E8" w:sz="1"/>
            </w:tcBorders>
            <w:shd w:fill="D6E8FF" w:val="clear"/>
            <w:tcMar>
              <w:top w:type="dxa" w:w="100"/>
              <w:left w:type="dxa" w:w="130"/>
              <w:bottom w:type="dxa" w:w="100"/>
              <w:right w:type="dxa" w:w="130"/>
            </w:tcMar>
            <w:vAlign w:val="center"/>
          </w:tcPr>
          <w:p>
            <w:r>
              <w:rPr>
                <w:rFonts w:ascii="Arial" w:cs="Arial" w:eastAsia="Arial" w:hAnsi="Arial"/>
                <w:b/>
                <w:bCs/>
                <w:color w:val="1A1A1A"/>
                <w:sz w:val="20"/>
                <w:szCs w:val="20"/>
              </w:rPr>
              <w:t xml:space="preserve">$150K/yr ($12,500/mo)  --  BASE CASE</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1A3A6C"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  (BASE)</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r>
      <w:tr>
        <w:tc>
          <w:tcPr>
            <w:tcBorders>
              <w:top w:val="single" w:color="B0C8E8" w:sz="1"/>
              <w:left w:val="single" w:color="B0C8E8" w:sz="1"/>
              <w:bottom w:val="single" w:color="B0C8E8" w:sz="1"/>
              <w:right w:val="single" w:color="B0C8E8" w:sz="1"/>
            </w:tcBorders>
            <w:shd w:fill="EEF4FB" w:val="clear"/>
            <w:tcMar>
              <w:top w:type="dxa" w:w="100"/>
              <w:left w:type="dxa" w:w="130"/>
              <w:bottom w:type="dxa" w:w="100"/>
              <w:right w:type="dxa" w:w="130"/>
            </w:tcMar>
            <w:vAlign w:val="center"/>
          </w:tcPr>
          <w:p>
            <w:r>
              <w:rPr>
                <w:rFonts w:ascii="Arial" w:cs="Arial" w:eastAsia="Arial" w:hAnsi="Arial"/>
                <w:b w:val="false"/>
                <w:bCs w:val="false"/>
                <w:color w:val="1A1A1A"/>
                <w:sz w:val="20"/>
                <w:szCs w:val="20"/>
              </w:rPr>
              <w:t xml:space="preserve">$175K/yr ($14,583/mo)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c>
          <w:tcPr>
            <w:tcBorders>
              <w:top w:val="single" w:color="B0C8E8" w:sz="1"/>
              <w:left w:val="single" w:color="B0C8E8" w:sz="1"/>
              <w:bottom w:val="single" w:color="B0C8E8" w:sz="1"/>
              <w:right w:val="single" w:color="B0C8E8" w:sz="1"/>
            </w:tcBorders>
            <w:shd w:fill="8B1A1A" w:val="clear"/>
            <w:tcMar>
              <w:top w:type="dxa" w:w="100"/>
              <w:left w:type="dxa" w:w="130"/>
              <w:bottom w:type="dxa" w:w="100"/>
              <w:right w:type="dxa" w:w="130"/>
            </w:tcMar>
            <w:vAlign w:val="center"/>
          </w:tcPr>
          <w:p>
            <w:pPr>
              <w:jc w:val="center"/>
            </w:pPr>
            <w:r>
              <w:rPr>
                <w:rFonts w:ascii="Arial" w:cs="Arial" w:eastAsia="Arial" w:hAnsi="Arial"/>
                <w:b/>
                <w:bCs/>
                <w:color w:val="FFFFFF"/>
                <w:sz w:val="20"/>
                <w:szCs w:val="20"/>
              </w:rPr>
              <w:t xml:space="preserve">48 mo</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Color</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Break-Even Range</w:t>
            </w:r>
          </w:p>
        </w:tc>
        <w:tc>
          <w:tcPr>
            <w:tcW w:type="dxa" w:w="5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Means</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Green</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18 or earlier</w:t>
            </w:r>
          </w:p>
        </w:tc>
        <w:tc>
          <w:tcPr>
            <w:tcW w:type="dxa" w:w="5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Upside scenario -- Hub reaches break-even ahead of plan</w:t>
            </w:r>
          </w:p>
        </w:tc>
      </w:tr>
      <w:tr>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Blue (Base Zone)</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19-22</w:t>
            </w:r>
          </w:p>
        </w:tc>
        <w:tc>
          <w:tcPr>
            <w:tcW w:type="dxa" w:w="5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 line with plan -- expected range under base case assumptions</w:t>
            </w:r>
          </w:p>
        </w:tc>
      </w:tr>
      <w:tr>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Gold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23-26</w:t>
            </w:r>
          </w:p>
        </w:tc>
        <w:tc>
          <w:tcPr>
            <w:tcW w:type="dxa" w:w="5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Moderately extended -- 1-3 quarters beyond plan; manageable with reserves</w:t>
            </w:r>
          </w:p>
        </w:tc>
      </w:tr>
      <w:tr>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27+</w:t>
            </w:r>
          </w:p>
        </w:tc>
        <w:tc>
          <w:tcPr>
            <w:tcW w:type="dxa" w:w="5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Significantly extended -- working capital reserves must be tested; mitigations required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I.2 Scenario Narratives</w:t>
      </w:r>
    </w:p>
    <w:p>
      <w:pPr>
        <w:spacing w:before="80" w:after="80"/>
      </w:pPr>
      <w:r>
        <w:t xml:space="preserve"/>
      </w:r>
    </w:p>
    <w:p>
      <w:pPr>
        <w:spacing w:before="220" w:after="80"/>
      </w:pPr>
      <w:r>
        <w:rPr>
          <w:rFonts w:ascii="Arial" w:cs="Arial" w:eastAsia="Arial" w:hAnsi="Arial"/>
          <w:b/>
          <w:bCs/>
          <w:color w:val="14746F"/>
          <w:sz w:val="24"/>
          <w:szCs w:val="24"/>
        </w:rPr>
        <w:t xml:space="preserve">Best Case: 90% Occupancy + $100K Utilities -- Break-Even Month 15</w:t>
      </w:r>
    </w:p>
    <w:p>
      <w:pPr>
        <w:spacing w:before="60" w:after="80"/>
      </w:pPr>
      <w:r>
        <w:rPr>
          <w:rFonts w:ascii="Arial" w:cs="Arial" w:eastAsia="Arial" w:hAnsi="Arial"/>
          <w:color w:val="1A1A1A"/>
          <w:sz w:val="22"/>
          <w:szCs w:val="22"/>
        </w:rPr>
        <w:t xml:space="preserve">Achieved if vendor recruitment exceeds expectations (all 13 stalls filled rapidly), the Cider Club launches strongly (100+ members by Month 3), and utility costs are kept below $8,400/month through energy-efficient equipment choices and favorable summer HVAC performance. At this scenario, the Hub reaches cumulative break-even three to five months ahead of plan, and Year 2 EBITDA approaches $450,000. This is the scenario that justifies a higher valuation at Year 5 buyout.</w:t>
      </w:r>
    </w:p>
    <w:p>
      <w:pPr>
        <w:spacing w:before="80" w:after="80"/>
      </w:pPr>
      <w:r>
        <w:t xml:space="preserve"/>
      </w:r>
    </w:p>
    <w:p>
      <w:pPr>
        <w:spacing w:before="220" w:after="80"/>
      </w:pPr>
      <w:r>
        <w:rPr>
          <w:rFonts w:ascii="Arial" w:cs="Arial" w:eastAsia="Arial" w:hAnsi="Arial"/>
          <w:b/>
          <w:bCs/>
          <w:color w:val="14746F"/>
          <w:sz w:val="24"/>
          <w:szCs w:val="24"/>
        </w:rPr>
        <w:t xml:space="preserve">Base Case: 80% Occupancy + $150K Utilities -- Break-Even Month 20</w:t>
      </w:r>
    </w:p>
    <w:p>
      <w:pPr>
        <w:spacing w:before="60" w:after="80"/>
      </w:pPr>
      <w:r>
        <w:rPr>
          <w:rFonts w:ascii="Arial" w:cs="Arial" w:eastAsia="Arial" w:hAnsi="Arial"/>
          <w:color w:val="1A1A1A"/>
          <w:sz w:val="22"/>
          <w:szCs w:val="22"/>
        </w:rPr>
        <w:t xml:space="preserve">The primary financial model. Vendor occupancy reaches 80% stabilization (10-11 of 13 stalls) by Month 9, utility costs run $12,500/month consistent with the desert climate reforecast, and the Cider Club builds to 75 members by Year 1. Year 1 EBITDA of $114,000 reflects this scenario. This is the projection presented to SBA lenders and grant agencies.</w:t>
      </w:r>
    </w:p>
    <w:p>
      <w:pPr>
        <w:spacing w:before="80" w:after="80"/>
      </w:pPr>
      <w:r>
        <w:t xml:space="preserve"/>
      </w:r>
    </w:p>
    <w:p>
      <w:pPr>
        <w:spacing w:before="220" w:after="80"/>
      </w:pPr>
      <w:r>
        <w:rPr>
          <w:rFonts w:ascii="Arial" w:cs="Arial" w:eastAsia="Arial" w:hAnsi="Arial"/>
          <w:b/>
          <w:bCs/>
          <w:color w:val="14746F"/>
          <w:sz w:val="24"/>
          <w:szCs w:val="24"/>
        </w:rPr>
        <w:t xml:space="preserve">Conservative Case: 70% Occupancy + $150K Utilities -- Break-Even Month 26</w:t>
      </w:r>
    </w:p>
    <w:p>
      <w:pPr>
        <w:spacing w:before="60" w:after="80"/>
      </w:pPr>
      <w:r>
        <w:rPr>
          <w:rFonts w:ascii="Arial" w:cs="Arial" w:eastAsia="Arial" w:hAnsi="Arial"/>
          <w:color w:val="1A1A1A"/>
          <w:sz w:val="22"/>
          <w:szCs w:val="22"/>
        </w:rPr>
        <w:t xml:space="preserve">Vendor recruitment is slower than planned -- the Hub stabilizes at 9-10 of 13 stalls, reflecting one or two unfilled incubator slots and slower ghost kitchen revenue. Utilities remain at the desert reforecast baseline. Break-even extends to approximately Month 26. In this scenario, the $272,000 working capital reserve is fully consumed and an additional $60,000-$90,000 bridge may be needed. The mitigation is activating the Fallback Phase 1 plan from Supplement C: open fewer stalls, reduce staffing overhead, and pursue CDFI bridge financing.</w:t>
      </w:r>
    </w:p>
    <w:p>
      <w:pPr>
        <w:spacing w:before="80" w:after="80"/>
      </w:pPr>
      <w:r>
        <w:t xml:space="preserve"/>
      </w:r>
    </w:p>
    <w:p>
      <w:pPr>
        <w:spacing w:before="220" w:after="80"/>
      </w:pPr>
      <w:r>
        <w:rPr>
          <w:rFonts w:ascii="Arial" w:cs="Arial" w:eastAsia="Arial" w:hAnsi="Arial"/>
          <w:b/>
          <w:bCs/>
          <w:color w:val="14746F"/>
          <w:sz w:val="24"/>
          <w:szCs w:val="24"/>
        </w:rPr>
        <w:t xml:space="preserve">Stress Case: 60% Occupancy + $175K Utilities -- Break-Even Month 36+</w:t>
      </w:r>
    </w:p>
    <w:p>
      <w:pPr>
        <w:spacing w:before="60" w:after="80"/>
      </w:pPr>
      <w:r>
        <w:rPr>
          <w:rFonts w:ascii="Arial" w:cs="Arial" w:eastAsia="Arial" w:hAnsi="Arial"/>
          <w:color w:val="1A1A1A"/>
          <w:sz w:val="22"/>
          <w:szCs w:val="22"/>
        </w:rPr>
        <w:t xml:space="preserve">The red-cell scenario: vendor occupancy remains at only 7-8 of 13 stalls through Year 1 AND utility costs exceed the high-end estimate by an additional $25,000/year. In this scenario the Hub does not reach cumulative break-even until approximately Month 36. This scenario is unlikely because it requires both simultaneous vendor recruitment failure AND above-maximum utility costs, but it must be acknowledged. The required response is activating the full phased fallback plan: temporarily defer ghost kitchen buildout, aggressively pursue the DLCP Renovate Main Street grant to reduce ongoing lease cost, and initiate a second SBA loan application using 12+ months of operating history to support the application.</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I.3 Revenue Sensitivity: What Each Occupancy Level Means in Dollars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200"/>
        <w:gridCol w:w="11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Occupancy Level</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Stalls Operating</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Annualized Revenue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vs. Base Case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EBITDA at $150K Utilities</w:t>
            </w:r>
          </w:p>
        </w:tc>
        <w:tc>
          <w:tcPr>
            <w:tcW w:type="dxa" w:w="1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Break-Even Month</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7-8 of 13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$603,000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-$402,000 vs. base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Negative -- ($161,000)</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36+ months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9-10 of 13</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$703,500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-$301,500 vs. base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~$0 (near breakeven annually)</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26 months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 (Base)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10-11 of 13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$804,000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 (11% margin)</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 months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11-12 of 13</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$904,500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+$100,500 vs. base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$214,000 (24% margin)</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 months</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 (Upside)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13</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$1,005,000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+$201,000 vs. base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$241,000+ (24%+)</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 months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I.4 Cost Sensitivity: What Each Utility Scenario Means in Dollars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2000"/>
        <w:gridCol w:w="2500"/>
        <w:gridCol w:w="11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Utility Cost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Utility</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vs. Base Case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 on EBITDA (80% Occ)</w:t>
            </w:r>
          </w:p>
        </w:tc>
        <w:tc>
          <w:tcPr>
            <w:tcW w:type="dxa" w:w="1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Break-Even Month (80% Occ)</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$8,333</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-$50,000/yr better</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$164,000 (20% margin)</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17 months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$10,417</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-$25,000/yr better</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$139,000 (17% margin)</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18 months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$150,000 (Base)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$12,500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$114,000 (11% margin)</w:t>
            </w:r>
          </w:p>
        </w:tc>
        <w:tc>
          <w:tcPr>
            <w:tcW w:type="dxa" w:w="1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 months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$175,000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$14,583</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+$25,000/yr worse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$89,000 (9% margin)</w:t>
            </w:r>
          </w:p>
        </w:tc>
        <w:tc>
          <w:tcPr>
            <w:tcW w:type="dxa" w:w="1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 months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I.5 Key Risk Mitigations for Each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If this happens...</w:t>
            </w:r>
          </w:p>
        </w:tc>
        <w:tc>
          <w:tcPr>
            <w:tcW w:type="dxa" w:w="3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Response</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Financial Impact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Occupancy stays below 70% at Month 9</w:t>
            </w:r>
          </w:p>
        </w:tc>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Activate Fallback Phase 1: open 6-8 stalls only; defer ghost kitchens; reduce part-time staff by 30%; pursue CDFI bridge financing</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Extends break-even by 4-8 months; requires $60,000-$90,000 additional working capital; achievable through WESST Microloan or equipment financing</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Utility costs exceed $160,000/year</w:t>
            </w:r>
          </w:p>
        </w:tc>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Audit HVAC system for efficiency; negotiate vendor shared services fee increase from $600 to $750/month/stall; install sub-metering per stall to identify outlier consumption; apply for Las Cruces Utilities energy efficiency rebate programs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Each $600/month increase in shared services fee (10 stalls) recovers $72,000/year; combined with efficiency measures, net exposure limited to $10,000-$20,000/year</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SBA loan is declined</w:t>
            </w:r>
          </w:p>
        </w:tc>
        <w:tc>
          <w:tcPr>
            <w:tcW w:type="dxa" w:w="3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Activate Supplement C Fallback: CDFI loan ($300K-$500K) + equipment financing ($150K-$250K) + grant acceleration; phase opening to match available capital</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Break-even extends by 3-6 months; total project scope maintained; Grand Opening delayed 4-8 months from original target</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underperforms in Year 1</w:t>
            </w:r>
          </w:p>
        </w:tc>
        <w:tc>
          <w:tcPr>
            <w:tcW w:type="dxa" w:w="3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 tap count from 25 to 15; focus on Cider Club membership revenue; reallocate 2 taps to craft cocktail program; partner with NMSU for tailgate and event programming</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revenue floor at $80,000-$100,000 even in underperformance scenario; not a project-threatening risk given vendor rent as base revenue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Capital Adequacy Conclusion</w:t>
            </w:r>
          </w:p>
          <w:p>
            <w:pPr>
              <w:spacing w:before="40"/>
            </w:pPr>
            <w:r>
              <w:rPr>
                <w:rFonts w:ascii="Arial" w:cs="Arial" w:eastAsia="Arial" w:hAnsi="Arial"/>
                <w:color w:val="1A1A1A"/>
                <w:sz w:val="21"/>
                <w:szCs w:val="21"/>
              </w:rPr>
              <w:t xml:space="preserve">The working capital reserve of $272,000 (from Supplement A monthly cash flow) provides sufficient runway for the base case and conservative case scenarios. Only the stress case (60% occupancy + $175K utilities simultaneously) would exhaust reserves before break-even. The probability of both drivers occurring simultaneously is estimated below 10%. The base case assumption of $272,000 in pre-opening working capital reserve (note: Appendix F.7 base-case Year 1 operating cash burn projects $369,000; the $97,000 gap should be closed via SBA 7(a) working capital line of credit or increased equity contribution before underwriting) capital is confirmed as adequate for the range of realistic scenarios.</w:t>
            </w:r>
          </w:p>
        </w:tc>
      </w:tr>
    </w:tbl>
    <w:p>
      <w:pPr>
        <w:spacing w:before="80" w:after="80"/>
      </w:pPr>
      <w:r>
        <w:t xml:space="preserve"/>
      </w:r>
    </w:p>
    <w:p>
      <w:pPr>
        <w:spacing w:before="60" w:after="80"/>
      </w:pPr>
      <w:r>
        <w:rPr>
          <w:rFonts w:ascii="Arial" w:cs="Arial" w:eastAsia="Arial" w:hAnsi="Arial"/>
          <w:i/>
          <w:iCs/>
          <w:color w:val="555555"/>
          <w:sz w:val="20"/>
          <w:szCs w:val="20"/>
        </w:rPr>
        <w:t xml:space="preserve">Break-even calculations are based on cumulative net cash position from Month 1 of operations. Revenue assumptions use a linear ramp from 55% occupancy at soft opening to the scenario ceiling by Month 9, consistent with Supplement A cash flow model. All costs use the revised utility forecast from Supplement B and the full cost structure from Section 7 of the main plan. These are projections; actual results will vary.</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J: Insurance Cost Analysis and Coverage Plan</w:t>
      </w:r>
    </w:p>
    <w:p>
      <w:pPr>
        <w:spacing w:before="60" w:after="80"/>
      </w:pPr>
      <w:r>
        <w:rPr>
          <w:rFonts w:ascii="Arial" w:cs="Arial" w:eastAsia="Arial" w:hAnsi="Arial"/>
          <w:color w:val="1A1A1A"/>
          <w:sz w:val="22"/>
          <w:szCs w:val="22"/>
        </w:rPr>
        <w:t xml:space="preserve">The Hub's main financial model budgets $22,000 per year for insurance. This supplement validates that estimate against current market data, distinguishes between the FLIP vendor-level premiums referenced in the plan and the operator-level coverages the Hub actually requires, and provides a coverage-by-coverage cost model with a clear recommendation to obtain a formal broker quote before the SBA loan application is submitted.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Critical Distinction: Vendor Insurance vs. Hub Operator Insurance</w:t>
            </w:r>
          </w:p>
          <w:p>
            <w:pPr>
              <w:spacing w:before="40"/>
            </w:pPr>
            <w:r>
              <w:rPr>
                <w:rFonts w:ascii="Arial" w:cs="Arial" w:eastAsia="Arial" w:hAnsi="Arial"/>
                <w:color w:val="1A1A1A"/>
                <w:sz w:val="21"/>
                <w:szCs w:val="21"/>
              </w:rPr>
              <w:t xml:space="preserve">FLIP (Food Liability Insurance Program) data shows food vendor premiums around $61/month ($732/year) -- this covers an individual food stall operator for general liability on their specific concept. This is the insurance each of the Hub's 13 vendors carries for their own stall operations. The Hub as the facility operator requires an entirely different, larger, and more complex insurance program covering the entire 8,000 sq ft facility, the craft cider bar with liquor service, all employees across all hub-level functions, and the capital assets of the buildout. These are two distinct insurance programs; both are required.</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J.1 Required Coverage Types -- Hub Operator Level</w:t>
      </w:r>
    </w:p>
    <w:p>
      <w:pPr>
        <w:spacing w:before="60" w:after="80"/>
      </w:pPr>
      <w:r>
        <w:rPr>
          <w:rFonts w:ascii="Arial" w:cs="Arial" w:eastAsia="Arial" w:hAnsi="Arial"/>
          <w:color w:val="1A1A1A"/>
          <w:sz w:val="22"/>
          <w:szCs w:val="22"/>
        </w:rPr>
        <w:t xml:space="preserve">As the Hub operator, five distinct coverage types are required. A sixth -- business interruption insurance -- is strongly recommended given the Hub's fixed cost structure and SBA debt service obligations. NM ABC requires proof of liquor liability insurance as a condition of the Dispenser license application, making that coverage non-optional.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1900"/>
        <w:gridCol w:w="8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 Type</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Covers</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NM Requirement</w:t>
            </w:r>
          </w:p>
        </w:tc>
        <w:tc>
          <w:tcPr>
            <w:tcW w:type="dxa" w:w="19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Industry Benchmark (Annual)</w:t>
            </w:r>
          </w:p>
        </w:tc>
        <w:tc>
          <w:tcPr>
            <w:tcW w:type="dxa" w:w="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Estimate (Annual)</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General Liability (CGL)</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Third-party bodily injury, property damage, advertising injury, food-related illness claims on Hub premises. Standard limits: $1M per occurrence / $2M aggregate. Landlord named as additional insured (required by commercial lease).</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by most commercial leases; $1M/$2M minimum standard</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$900-$1,750 avg for single restaurant; food hall with higher foot traffic and multi-concept risk: $2,500-$4,500</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$3,000-$4,500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Property Insurance</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Hub-owned equipment, FF&amp;E, leasehold improvements, cider bar infrastructure, POS hardware, and inventory. Coverage value based on $290K buildout + $60K cider bar + $40K tech = ~$390K insurable assets. Rate: 1-3% of property value.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Not legally required but required by SBA 7(a) lender as condition of loan</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1-3% of property value annually; at $390K insurable value: $3,900-$11,700</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$4,500-$7,000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Liquor Liability (Dram Shop)</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Bodily injury and property damage claims arising from alcohol service at the cider bar -- specifically, patrons who become intoxicated and injure themselves or others. Standard GL policies EXCLUDE liquor liability; this is a standalone required coverage. NM operates under dram shop liability statutes.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Mandatory -- NM ABC requires proof of liquor liability coverage as a condition of Dispenser license issuance</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Bars and nightclubs: $500-$3,000/year avg; $75/month avg. Food halls with bars are priced similarly to full-service bars with dining.</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$1,500-$3,000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Workers' Compensation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Medical treatment and lost wages for Hub employees injured on the job. NM requires workers' comp for all employers with one or more employees. Rate based on payroll classification codes: food service workers ($1.25-$2.00 per $100 payroll); managers ($0.40-$0.75 per $100 payroll).</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Mandatory -- NM Workers' Compensation Act requires coverage for all Hub employees from Day 1</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Rate: $0.75-$2.00 per $100 payroll. At $525,000 hub-level payroll (excl. vendor staff): $3,937-$10,500/year</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$5,000-$8,500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Umbrella</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Excess liability above primary CGL and liquor liability limits. Activates when a single claim exhausts primary policy limits -- critical for a high-foot-traffic venue with alcohol service. $1M additional coverage typical; $2M recommended for food hall events programming.</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legally required; strongly recommended by commercial lenders and landlords for venues with liquor service and events</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$707/year avg for $1M umbrella (alcohol sellers, Insureon data); $1,000-$1,500 for $2M</w:t>
            </w:r>
          </w:p>
        </w:tc>
        <w:tc>
          <w:tcPr>
            <w:tcW w:type="dxa" w:w="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$700-$1,500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Business Interruption Insurance (Recommended)</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Lost revenue if Hub is forced to close due to a covered property event (fire, flood, equipment failure). Covers fixed costs -- lease, debt service, staff -- during shutdown period. Especially important given SBA loan debt service obligations that continue regardless of revenue.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Not legally required; strongly recommended given fixed SBA debt service of ~$10,900/month</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Typically bundled into BOP at no additional cost, or $500-$1,500/year standalone</w:t>
            </w:r>
          </w:p>
        </w:tc>
        <w:tc>
          <w:tcPr>
            <w:tcW w:type="dxa" w:w="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Bundled into BOP -- $0-$500 incremental</w:t>
            </w:r>
          </w:p>
        </w:tc>
      </w:tr>
      <w:tr>
        <w:tc>
          <w:tcPr>
            <w:tcW w:type="dxa" w:w="22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TOTAL ESTIMATED ANNUAL PREMIUM (all five required coverages)</w:t>
            </w:r>
          </w:p>
        </w:tc>
        <w:tc>
          <w:tcPr>
            <w:tcW w:type="dxa" w:w="26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
            </w:r>
          </w:p>
        </w:tc>
        <w:tc>
          <w:tcPr>
            <w:tcW w:type="dxa" w:w="18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
            </w:r>
          </w:p>
        </w:tc>
        <w:tc>
          <w:tcPr>
            <w:tcW w:type="dxa" w:w="190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
            </w:r>
          </w:p>
        </w:tc>
        <w:tc>
          <w:tcPr>
            <w:tcW w:type="dxa" w:w="860"/>
            <w:tcBorders>
              <w:top w:val="single" w:color="B0C8E8" w:sz="1"/>
              <w:left w:val="single" w:color="B0C8E8" w:sz="1"/>
              <w:bottom w:val="single" w:color="B0C8E8" w:sz="1"/>
              <w:right w:val="single" w:color="B0C8E8" w:sz="1"/>
            </w:tcBorders>
            <w:shd w:fill="D6E8FF" w:val="clear"/>
            <w:tcMar>
              <w:top w:type="dxa" w:w="90"/>
              <w:left w:type="dxa" w:w="130"/>
              <w:bottom w:type="dxa" w:w="90"/>
              <w:right w:type="dxa" w:w="130"/>
            </w:tcMar>
          </w:tcPr>
          <w:p>
            <w:r>
              <w:rPr>
                <w:rFonts w:ascii="Arial" w:cs="Arial" w:eastAsia="Arial" w:hAnsi="Arial"/>
                <w:b/>
                <w:bCs/>
                <w:color w:val="1B3A5C"/>
                <w:sz w:val="20"/>
                <w:szCs w:val="20"/>
              </w:rPr>
              <w:t xml:space="preserve">$14,700-$20,000</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J.2 Bundling Strategy: Business Owner's Policy (BOP) + Standalone Coverages</w:t>
      </w:r>
    </w:p>
    <w:p>
      <w:pPr>
        <w:spacing w:before="60" w:after="80"/>
      </w:pPr>
      <w:r>
        <w:rPr>
          <w:rFonts w:ascii="Arial" w:cs="Arial" w:eastAsia="Arial" w:hAnsi="Arial"/>
          <w:color w:val="1A1A1A"/>
          <w:sz w:val="22"/>
          <w:szCs w:val="22"/>
        </w:rPr>
        <w:t xml:space="preserve">The most cost-effective approach is to bundle commercial general liability, commercial property, and business interruption into a single Business Owner's Policy (BOP), then purchase liquor liability, workers' compensation, and umbrella as standalone policies. Bundling saves 20-30% versus purchasing each coverage separately and simplifies claims management through a single primary carrier.</w:t>
      </w:r>
    </w:p>
    <w:p>
      <w:pPr>
        <w:spacing w:before="80"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900"/>
        <w:gridCol w:w="30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Policy Structure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 Included</w:t>
            </w:r>
          </w:p>
        </w:tc>
        <w:tc>
          <w:tcPr>
            <w:tcW w:type="dxa" w:w="19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Estimated Annual Cost</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Business Owner's Policy (BOP)</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CGL ($1M/$2M) + Commercial Property ($390K assets) + Business Interruption (6-month revenue)</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$5,000-$8,000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Bars and food halls with alcohol service pay premium above the $3,010 restaurant average; $4,000-$6,000 is a realistic estimate for a venue of this size and risk profile. Bundling saves ~25% vs. separate policies.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Liquor Liability (standalone)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 per occurrence / $2M aggregate for alcohol-related claims; required for NM ABC Dispenser license</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$1,500-$3,000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Quoted separately from BOP by most carriers for food-and-beverage operations; some carriers bundle into BOP at premium. Standalone preferred for clarity of coverage.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Workers' Compensation (standalone)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 Hub employees; NM statutory benefits; employer liability included</w:t>
            </w:r>
          </w:p>
        </w:tc>
        <w:tc>
          <w:tcPr>
            <w:tcW w:type="dxa" w:w="19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$5,000-$8,500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Based on $525K hub-level payroll at blended rate of $0.95-$1.62 per $100. Premium adjusts annually based on actual payroll and claims experience.</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Commercial Umbrella (standalone)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$1M-$2M excess above BOP and liquor liability limits</w:t>
            </w:r>
          </w:p>
        </w:tc>
        <w:tc>
          <w:tcPr>
            <w:tcW w:type="dxa" w:w="19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$700-$1,500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$1M umbrella at ~$707/year (Insureon avg for alcohol sellers); $2M recommended for events programming; step up to $2M once events revenue exceeds $100K/year.</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J.3 Budget Validation: Does $22,000/Year Hold?</w:t>
      </w:r>
    </w:p>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700"/>
        <w:gridCol w:w="1500"/>
        <w:gridCol w:w="1300"/>
        <w:gridCol w:w="1700"/>
        <w:gridCol w:w="10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Scenario</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BOP</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Liquor Liability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Workers' Comp</w:t>
            </w:r>
          </w:p>
        </w:tc>
        <w:tc>
          <w:tcPr>
            <w:tcW w:type="dxa" w:w="13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Umbrella</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TOTAL</w:t>
            </w:r>
          </w:p>
        </w:tc>
        <w:tc>
          <w:tcPr>
            <w:tcW w:type="dxa" w:w="1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vs. $22K Budget</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estimate (efficient carrier, clean claims history)</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$700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$12,200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-$9,800 (budget adequate)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Mid estimate (realistic for new food hall with bar)</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$6,500</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$16,000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 (budget adequate)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estimate (higher payroll, events exposure, premium market)</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$8,500</w:t>
            </w:r>
          </w:p>
        </w:tc>
        <w:tc>
          <w:tcPr>
            <w:tcW w:type="dxa" w:w="13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$1,500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$21,000</w:t>
            </w:r>
          </w:p>
        </w:tc>
        <w:tc>
          <w:tcPr>
            <w:tcW w:type="dxa" w:w="1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-$1,000 (budget marginally adequate)</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Stress estimate (adverse factors: claims history, urban surcharge, high limits)</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$10,000</w:t>
            </w:r>
          </w:p>
        </w:tc>
        <w:tc>
          <w:tcPr>
            <w:tcW w:type="dxa" w:w="13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$25,500</w:t>
            </w:r>
          </w:p>
        </w:tc>
        <w:tc>
          <w:tcPr>
            <w:tcW w:type="dxa" w:w="1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+$3,500 (budget insufficient)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Budget Assessment</w:t>
            </w:r>
          </w:p>
          <w:p>
            <w:pPr>
              <w:spacing w:before="40"/>
            </w:pPr>
            <w:r>
              <w:rPr>
                <w:rFonts w:ascii="Arial" w:cs="Arial" w:eastAsia="Arial" w:hAnsi="Arial"/>
                <w:color w:val="1A1A1A"/>
                <w:sz w:val="21"/>
                <w:szCs w:val="21"/>
              </w:rPr>
              <w:t xml:space="preserve">The current $22,000/year insurance budget is adequate for the mid and high estimate scenarios, which represent the most likely real-world outcomes for a new food hall operator in Las Cruces without prior claims history. The budget becomes insufficient only in the stress scenario, which requires an adverse combination of high payroll, maximum limits, and premium market conditions. Recommendation: retain the $22,000/year estimate in the financial model but obtain a formal broker quote before the SBA loan application is submitted. If the formal quote comes in below $18,000, release the surplus to the contingency reserve. If it comes in above $22,000, update the cost model accordingly and adjust the monthly cash flow in Supplement 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J.4 Vendor-Level Insurance Requirements (Separate from Hub Program)</w:t>
      </w:r>
    </w:p>
    <w:p>
      <w:pPr>
        <w:spacing w:before="60" w:after="80"/>
      </w:pPr>
      <w:r>
        <w:rPr>
          <w:rFonts w:ascii="Arial" w:cs="Arial" w:eastAsia="Arial" w:hAnsi="Arial"/>
          <w:color w:val="1A1A1A"/>
          <w:sz w:val="22"/>
          <w:szCs w:val="22"/>
        </w:rPr>
        <w:t xml:space="preserve">Each of the Hub's 13 vendor operators is required to carry their own insurance as a condition of their license agreement. The Hub's insurance program covers Hub-level operations and shared spaces; it does not extend to individual vendor stalls or vendor-caused incidents within their dedicated kitchen. This separation of coverage is standard in food hall license agreements and must be explicit in the Vendor License Agreement (Appendix 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Coverage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Minimum Required of Each Vendor</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Typical Vendor Annual Cost</w:t>
            </w:r>
          </w:p>
        </w:tc>
        <w:tc>
          <w:tcPr>
            <w:tcW w:type="dxa" w:w="2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General Liability</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$1M per occurrence / $2M aggregate; Hub named as additional insured</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$500-$900/year</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FLIP program starts at $299/year; most food hall vendors pay $500-$900 for adequate limits. Hub named as additional insured at no cost to vendor.</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Product Liability</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GL policy -- covers food-borne illness, allergic reaction claims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Included in GL premium</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Verify product liability is explicitly included; some budget GL policies exclude this.</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Workers' Comp</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Required if vendor has any employees (NM law); vendor is responsible for their own staff</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$600-$2,500/year depending on staff count</w:t>
            </w:r>
          </w:p>
        </w:tc>
        <w:tc>
          <w:tcPr>
            <w:tcW w:type="dxa" w:w="2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workers' comp does NOT cover vendor employees. Vendor must show proof of coverage for all staff before stall opens.</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Liquor Liability</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Required only for vendors who serve alcohol (generally none -- alcohol sales are Hub/cider bar only)</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N/A for most vendors</w:t>
            </w:r>
          </w:p>
        </w:tc>
        <w:tc>
          <w:tcPr>
            <w:tcW w:type="dxa" w:w="2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any vendor is approved for BYOB or wine pairing service, they must obtain separate liquor liability. Standard Hub model concentrates alcohol service at the cider bar only.</w:t>
            </w:r>
          </w:p>
        </w:tc>
      </w:tr>
    </w:tbl>
    <w:p>
      <w:pPr>
        <w:spacing w:before="8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500"/>
        <w:gridCol w:w="2930"/>
        <w:gridCol w:w="2930"/>
      </w:tblGrid>
      <w:tr>
        <w:tc>
          <w:tcPr>
            <w:tcW w:type="dxa" w:w="4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Vendor Insurance Total (estimated per stall)</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Annual Cost</w:t>
            </w:r>
          </w:p>
        </w:tc>
        <w:tc>
          <w:tcPr>
            <w:tcW w:type="dxa" w:w="293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Cost</w:t>
            </w:r>
          </w:p>
        </w:tc>
      </w:tr>
      <w:tr>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GL + Product Liability (minimum)</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$500-$900</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$42-$75</w:t>
            </w:r>
          </w:p>
        </w:tc>
      </w:tr>
      <w:tr>
        <w:tc>
          <w:tcPr>
            <w:tcW w:type="dxa" w:w="4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Workers' Comp (if vendor has 2-3 staff)</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$800-$2,000</w:t>
            </w:r>
          </w:p>
        </w:tc>
        <w:tc>
          <w:tcPr>
            <w:tcW w:type="dxa" w:w="293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$67-$167</w:t>
            </w:r>
          </w:p>
        </w:tc>
      </w:tr>
      <w:tr>
        <w:tc>
          <w:tcPr>
            <w:tcW w:type="dxa" w:w="4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per vendor stall</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$1,300-$2,900/year</w:t>
            </w:r>
          </w:p>
        </w:tc>
        <w:tc>
          <w:tcPr>
            <w:tcW w:type="dxa" w:w="293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$108-$242/month</w:t>
            </w:r>
          </w:p>
        </w:tc>
      </w:tr>
    </w:tbl>
    <w:p>
      <w:pPr>
        <w:spacing w:before="80" w:after="80"/>
      </w:pPr>
      <w:r>
        <w:t xml:space="preserve"/>
      </w:r>
    </w:p>
    <w:p>
      <w:pPr>
        <w:spacing w:before="60" w:after="80"/>
      </w:pPr>
      <w:r>
        <w:rPr>
          <w:rFonts w:ascii="Arial" w:cs="Arial" w:eastAsia="Arial" w:hAnsi="Arial"/>
          <w:color w:val="1A1A1A"/>
          <w:sz w:val="22"/>
          <w:szCs w:val="22"/>
        </w:rPr>
        <w:t xml:space="preserve">At 10-13 vendor stalls each carrying $1,300-$2,900 in annual insurance, the Las Cruces Culinary Innovation Hub ecosystem generates $13,000-$37,700 per year in insurance premiums flowing into the local commercial insurance market -- entirely separate from and in addition to the Hub's own $14,700-$20,000 program. Certificates of insurance from all vendors are collected and filed before each stall opens and renewed annually.</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J.5 Risk Management Practices That Reduce Premiums</w:t>
      </w:r>
    </w:p>
    <w:p>
      <w:pPr>
        <w:spacing w:before="60" w:after="80"/>
      </w:pPr>
      <w:r>
        <w:rPr>
          <w:rFonts w:ascii="Arial" w:cs="Arial" w:eastAsia="Arial" w:hAnsi="Arial"/>
          <w:color w:val="1A1A1A"/>
          <w:sz w:val="22"/>
          <w:szCs w:val="22"/>
        </w:rPr>
        <w:t xml:space="preserve">Insurance carriers offer documented discounts of 15-25% to food service businesses that implement verifiable safety and training programs. The following practices are planned for the Hub from Day 1 and should be documented and presented to insurance carriers at the time of quoting to maximize premium discounts: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8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Practice</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Premium Discount Range</w:t>
            </w:r>
          </w:p>
        </w:tc>
        <w:tc>
          <w:tcPr>
            <w:tcW w:type="dxa" w:w="48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Implementation Plan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ServSafe certification for all Hub staff who handle food or alcohol</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10-15% on GL and liquor liability</w:t>
            </w:r>
          </w:p>
        </w:tc>
        <w:tc>
          <w:tcPr>
            <w:tcW w:type="dxa" w:w="4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Mandatory for all Hub FOH and cider bar staff; certification required before first shift; renewed every 3 years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TIPS (Training for Intervention Procedures) certification for all cider bar staff</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10-15% on liquor liability</w:t>
            </w:r>
          </w:p>
        </w:tc>
        <w:tc>
          <w:tcPr>
            <w:tcW w:type="dxa" w:w="4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Specific to alcohol service; certifies staff in recognizing intoxication, checking IDs, and refusing service; required by NM ABC and reduces dram shop exposure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Commercial-grade fire suppression system (Ansul) in all 13 kitchen stalls</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20-30% on property insurance</w:t>
            </w:r>
          </w:p>
        </w:tc>
        <w:tc>
          <w:tcPr>
            <w:tcW w:type="dxa" w:w="4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Installed as part of buildout; each stall's Type I hood includes integrated Ansul system; fire marshal acceptance required before opening</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24-hour security camera coverage of all common areas, entry/exit points, and cider bar</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10-15% on property and GL</w:t>
            </w:r>
          </w:p>
        </w:tc>
        <w:tc>
          <w:tcPr>
            <w:tcW w:type="dxa" w:w="48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IP camera system installed during buildout; cloud storage; motion detection; evidence preservation for claims management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Documented slip-and-fall prevention program (anti-slip flooring, wet floor protocols, incident log)</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5-10% on GL</w:t>
            </w:r>
          </w:p>
        </w:tc>
        <w:tc>
          <w:tcPr>
            <w:tcW w:type="dxa" w:w="48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Epoxy flooring with anti-slip aggregate in all kitchen zones; wet floor signage protocol; Operations Manager maintains daily inspection log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Cumulative Discount Potential</w:t>
            </w:r>
          </w:p>
          <w:p>
            <w:pPr>
              <w:spacing w:before="40"/>
            </w:pPr>
            <w:r>
              <w:rPr>
                <w:rFonts w:ascii="Arial" w:cs="Arial" w:eastAsia="Arial" w:hAnsi="Arial"/>
                <w:color w:val="1A1A1A"/>
                <w:sz w:val="21"/>
                <w:szCs w:val="21"/>
              </w:rPr>
              <w:t xml:space="preserve">A carrier specializing in restaurant and food hall risks (The Hartford, Travelers, or a regional NM commercial broker) may apply cumulative discounts of 20-30% for a new food hall that demonstrates all five practices above at time of application. On a $16,000 mid-estimate premium, a 25% discount saves $4,000/year, bringing the effective annual cost to $12,000 -- well within the $22,000 budget and freeing $10,000 for the contingency reserve.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J.6 Recommended Next Steps: Obtain Formal Broker Quote</w:t>
      </w:r>
    </w:p>
    <w:p>
      <w:pPr>
        <w:spacing w:before="60" w:after="80"/>
      </w:pPr>
      <w:r>
        <w:rPr>
          <w:rFonts w:ascii="Arial" w:cs="Arial" w:eastAsia="Arial" w:hAnsi="Arial"/>
          <w:color w:val="1A1A1A"/>
          <w:sz w:val="22"/>
          <w:szCs w:val="22"/>
        </w:rPr>
        <w:t xml:space="preserve">The estimates in this supplement are based on national industry benchmarks and New Mexico-specific factors. A formal broker quote from a Las Cruces commercial insurance specialist will provide the most accurate, binding figures for the SBA loan application and investor presentations. The following action plan is recommended:</w:t>
      </w:r>
    </w:p>
    <w:p>
      <w:pPr>
        <w:spacing w:before="80" w:after="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700"/>
        <w:gridCol w:w="1460"/>
      </w:tblGrid>
      <w:tr>
        <w:tc>
          <w:tcPr>
            <w:tcW w:type="dxa" w:w="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Step</w:t>
            </w:r>
          </w:p>
        </w:tc>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Timing</w:t>
            </w:r>
          </w:p>
        </w:tc>
        <w:tc>
          <w:tcPr>
            <w:tcW w:type="dxa" w:w="1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w:t>
            </w:r>
          </w:p>
        </w:tc>
      </w:tr>
      <w:tr>
        <w:tc>
          <w:tcPr>
            <w:tcW w:type="dxa" w:w="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2-3 independent commercial insurance brokers in Las Cruces who specialize in restaurant and hospitality coverage. Independent brokers access multiple carriers (The Hartford, Travelers, Markel, Philadelphia Insurance) vs. captive agents who represent only one. Target brokers with specific food service or hospitality experience.</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1 -- Phase 1</w:t>
            </w:r>
          </w:p>
        </w:tc>
        <w:tc>
          <w:tcPr>
            <w:tcW w:type="dxa" w:w="1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r>
      <w:tr>
        <w:tc>
          <w:tcPr>
            <w:tcW w:type="dxa" w:w="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Prepare the insurance application package: business plan, projected payroll breakdown, floor plan showing sq footage and kitchen layout, equipment list with values, security and fire suppression specifications, staff training program description, and draft vendor license agreement showing Hub's additional insured requirements.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1-2</w:t>
            </w:r>
          </w:p>
        </w:tc>
        <w:tc>
          <w:tcPr>
            <w:tcW w:type="dxa" w:w="1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 + Operations Manager hire</w:t>
            </w:r>
          </w:p>
        </w:tc>
      </w:tr>
      <w:tr>
        <w:tc>
          <w:tcPr>
            <w:tcW w:type="dxa" w:w="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Request quotes for: (a) BOP including GL $1M/$2M + Property $390K + Business Interruption 6 months; (b) Liquor Liability $1M/$2M standalone; (c) Workers' Comp based on projected payroll; (d) Umbrella $2M. Ask each broker to model both the Year 1 (partial occupancy) and Year 2 (full occupancy) premium.</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w:t>
            </w:r>
          </w:p>
        </w:tc>
        <w:tc>
          <w:tcPr>
            <w:tcW w:type="dxa" w:w="1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r>
      <w:tr>
        <w:tc>
          <w:tcPr>
            <w:tcW w:type="dxa" w:w="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w:t>
            </w:r>
          </w:p>
        </w:tc>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Present formal quotes to SBA lender alongside the business plan. SBA requires proof of insurance commitment (binder or quote) before loan closing. Lender will require Hub to be listed as loss payee on property policy and may specify minimum coverage limits.</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before SBA closing</w:t>
            </w:r>
          </w:p>
        </w:tc>
        <w:tc>
          <w:tcPr>
            <w:tcW w:type="dxa" w:w="1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Founder + SBA Lender</w:t>
            </w:r>
          </w:p>
        </w:tc>
      </w:tr>
      <w:tr>
        <w:tc>
          <w:tcPr>
            <w:tcW w:type="dxa" w:w="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w:t>
            </w:r>
          </w:p>
        </w:tc>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Update the Supplement A cash flow model and Section 7 cost structure with the actual quoted premium figures once received. If actual premium exceeds $22,000, adjust the monthly operating cost model and re-run the Supplement I break-even sensitivity analysis.</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 2-3</w:t>
            </w:r>
          </w:p>
        </w:tc>
        <w:tc>
          <w:tcPr>
            <w:tcW w:type="dxa" w:w="1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Founder</w:t>
            </w:r>
          </w:p>
        </w:tc>
      </w:tr>
    </w:tbl>
    <w:p>
      <w:pPr>
        <w:spacing w:before="80" w:after="80"/>
      </w:pPr>
      <w:r>
        <w:t xml:space="preserve"/>
      </w:r>
    </w:p>
    <w:p>
      <w:pPr>
        <w:spacing w:before="60" w:after="80"/>
      </w:pPr>
      <w:r>
        <w:rPr>
          <w:rFonts w:ascii="Arial" w:cs="Arial" w:eastAsia="Arial" w:hAnsi="Arial"/>
          <w:i/>
          <w:iCs/>
          <w:color w:val="555555"/>
          <w:sz w:val="20"/>
          <w:szCs w:val="20"/>
        </w:rPr>
        <w:t xml:space="preserve">Insurance premium data sourced from: Insureon (food vendor and liquor store benchmarks, 2025); TechInsurance (food and beverage GL averages, 2025); Toast (restaurant insurance cost guide, 2025); MoneyGeek (restaurant BOP benchmarks, 2025); Liberty Insurance (liquor liability cost data, 2025); Shurr Insurance (bars and nightclubs premium benchmarks, 2025). All estimates reflect national averages adjusted for New Mexico market conditions. Formal quotes from a Las Cruces commercial broker will supersede these estimates.</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K: West Picacho &amp; Motel Boulevard MRA -- Site Opportunity Analysis</w:t>
      </w:r>
    </w:p>
    <w:p>
      <w:pPr>
        <w:spacing w:before="60" w:after="80"/>
      </w:pPr>
      <w:r>
        <w:rPr>
          <w:rFonts w:ascii="Arial" w:cs="Arial" w:eastAsia="Arial" w:hAnsi="Arial"/>
          <w:color w:val="1A1A1A"/>
          <w:sz w:val="22"/>
          <w:szCs w:val="22"/>
        </w:rPr>
        <w:t xml:space="preserve">The City of Las Cruces adopted the West Picacho and Motel Boulevard Metropolitan Redevelopment Area (MRA) plan on December 1, 2025, and on March 16, 2026, the City Council unanimously approved GRT increment financing for the MRA -- one of six MRAs receiving this designation citywide. This supplement analyzes whether locating the Las Cruces Culinary Innovation Hub within this MRA boundary represents a stronger strategic option than the currently planned downtown footprint, and what the financial and operational implications of each path are.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Bottom Line Up Front</w:t>
            </w:r>
          </w:p>
          <w:p>
            <w:pPr>
              <w:spacing w:before="40"/>
            </w:pPr>
            <w:r>
              <w:rPr>
                <w:rFonts w:ascii="Arial" w:cs="Arial" w:eastAsia="Arial" w:hAnsi="Arial"/>
                <w:color w:val="1A1A1A"/>
                <w:sz w:val="21"/>
                <w:szCs w:val="21"/>
              </w:rPr>
              <w:t xml:space="preserve">The W. Picacho MRA offers a genuinely compelling financial incentive package -- property tax deferral, permit fee waivers, expedited review, and GRT increment reinvestment -- and the Shoto mixed-use catalytic site is a real opportunity. However, the MRA location trades the Hub's strongest asset (downtown walkability and destination identity) for financial savings. This is a viable alternative site worth serious investigation, but it is not a clear upgrade over downtown. The decision hinges on one question John should answer before proceeding: what is the rent differential between a downtown adaptive reuse building and a West Picacho corridor site? If the MRA incentives close that gap without sacrificing foot traffic, the MRA becomes the better option. If downtown is already competitively priced, the MRA savings may not offset the location risk.</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K.1 What the MRA Is and What Was Just Approved</w:t>
      </w:r>
    </w:p>
    <w:p>
      <w:pPr>
        <w:spacing w:before="60" w:after="80"/>
      </w:pPr>
      <w:r>
        <w:rPr>
          <w:rFonts w:ascii="Arial" w:cs="Arial" w:eastAsia="Arial" w:hAnsi="Arial"/>
          <w:color w:val="1A1A1A"/>
          <w:sz w:val="22"/>
          <w:szCs w:val="22"/>
        </w:rPr>
        <w:t xml:space="preserve">An MRA (Metropolitan Redevelopment Area) is a city-designated zone that unlocks public investment tools to stimulate private development in underutilized corridors. The W. Picacho and Motel Boulevard MRA covers approximately a 1.5-mile corridor bounded by Tashiro Drive/McClure Road to the north, the BNSF Railroad tracks to the east, West Hadley Avenue to the south, and the Rio Grande to the west -- as shown in the boundary map included with this supplement.</w:t>
      </w:r>
    </w:p>
    <w:p>
      <w:pPr>
        <w:spacing w:before="80" w:after="80"/>
      </w:pPr>
      <w:r>
        <w:t xml:space="preserve"/>
      </w:r>
    </w:p>
    <w:p>
      <w:pPr>
        <w:spacing w:before="60" w:after="80"/>
      </w:pPr>
      <w:r>
        <w:rPr>
          <w:rFonts w:ascii="Arial" w:cs="Arial" w:eastAsia="Arial" w:hAnsi="Arial"/>
          <w:color w:val="1A1A1A"/>
          <w:sz w:val="22"/>
          <w:szCs w:val="22"/>
        </w:rPr>
        <w:t xml:space="preserve">The March 16, 2026 City Council vote approved GRT increment financing for this MRA, establishing a baseline of approximately $42,000 per month in existing GRT revenue. Up to 75% of any GRT revenue generated above that baseline -- from new businesses opening or existing businesses growing within the MRA -- can be reinvested back into the MRA for up to 20 years. This does not increase anyone's tax rate. It means that economic growth generated by businesses like the Hub stays in the corridor that generated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Fact</w:t>
            </w:r>
          </w:p>
        </w:tc>
        <w:tc>
          <w:tcPr>
            <w:tcW w:type="dxa" w:w="6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Detail</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Adoption date</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December 1, 2025 (boundary and plan)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increment financing approved</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March 16, 2026 -- unanimous City Council vote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GRT baseline established</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~$42,000/month existing revenue</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Increment reinvestment rate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Up to 75% of growth above baseline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Reinvestment period</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Up to 20 years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Plan implementation timeline</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coordinator quoted 'immediate to 20 years' -- meaning private developers determine the pace, not a city construction schedule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Catalytic projects identified</w:t>
            </w:r>
          </w:p>
        </w:tc>
        <w:tc>
          <w:tcPr>
            <w:tcW w:type="dxa" w:w="6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Three identified in the plan; the Shoto mixed-use hub (~42 acres near Tashiro Drive) is the most relevant to a food hall anchoring a commercial development</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contact</w:t>
            </w:r>
          </w:p>
        </w:tc>
        <w:tc>
          <w:tcPr>
            <w:tcW w:type="dxa" w:w="6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Blairre Flores, Economic Development Coordinator, City of Las Cruces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K.2 Financial Incentives Available Inside the MRA</w:t>
      </w:r>
    </w:p>
    <w:p>
      <w:pPr>
        <w:spacing w:before="60" w:after="80"/>
      </w:pPr>
      <w:r>
        <w:rPr>
          <w:rFonts w:ascii="Arial" w:cs="Arial" w:eastAsia="Arial" w:hAnsi="Arial"/>
          <w:color w:val="1A1A1A"/>
          <w:sz w:val="22"/>
          <w:szCs w:val="22"/>
        </w:rPr>
        <w:t xml:space="preserve">Operating within the MRA boundary makes the Hub eligible for a stack of incentives that are not available to a downtown location. These are real, documented, and available now -- not speculative future programs.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Incentive</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It Works</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Estimated Value to Hub</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Confidence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Property tax deferral (up to 20 years)</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Building rehabilitation and improvements within an MRA can qualify for property tax deferral under NM Metropolitan Redevelopment Code. The tax is not forgiven -- it is deferred, meaning it becomes payable when the property transfers ownership or at the end of the deferral period. For a tenant/operator rather than property owner, the benefit flows through reduced rent from a landlord who receives the deferral.</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Depends on property ownership structure; if Hub leases, value flows through landlord incentive to offer lower rent. If Hub purchases, direct deferral possible. Estimated $8,000-$25,000/year at current NM property tax rates on a $1.4M buildout value.</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this incentive is established in NM law and has been applied in other MRAs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Development and permit fee waivers</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designation allows the City to waive development fees and building permit fees for projects that align with the MRA plan's goals. The W. Picacho plan explicitly calls for pedestrian-friendly commercial spaces and culturally rich landmarks -- both directly applicable to the Hub.</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Building permit fees for an 8,000 sq ft commercial adaptive reuse with 13 kitchen stalls typically run $15,000-$40,000 in Las Cruces. Full or partial waiver is negotiable.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requires City Economic Development Department negotiation; not automatic</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Expedited plan review</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projects receive priority review by City Planning and Building, reducing the standard 2-4 week commercial plan review timeline. For a project with 13 separate NMED stall permits, expedited city review could save 2-6 weeks on the critical path.</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2-6 weeks of schedule acceleration = $15,000-$45,000 in avoided holding costs (lease, interest) during delayed construction.</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standard MRA benefit applied consistently across Las Cruces MRAs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GRT increment reinvestment</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New GRT revenue above the $42,000/month baseline generated within the MRA is reinvested in corridor infrastructure improvements. The Hub generating $1M+ in annual taxable food sales at 8.39% GRT = $83,900/year in GRT. A portion of that increment stays in the corridor as streetscape, parking, and infrastructure investment -- reducing the burden on the Hub to solve its own parking and pedestrian access problems.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Indirect benefit: $20,000-$50,000/year in corridor improvements funded by the Hub's own GRT increment, improving the site conditions over time.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 approved by City Council March 16, 2026</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financial assistance eligibility</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MVEDA lists 'Business in a Metropolitan Redevelopment Area' as a qualifying category for economic development support from the EPE Economic Development Fund and other programs.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 to EPE fund grants ($50,000-$200,000 range) that may have stronger eligibility inside an MRA vs. outside one.</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requires application and confirmation with MVEDA</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Total Estimated Incentive Value</w:t>
            </w:r>
          </w:p>
          <w:p>
            <w:pPr>
              <w:spacing w:before="40"/>
            </w:pPr>
            <w:r>
              <w:rPr>
                <w:rFonts w:ascii="Arial" w:cs="Arial" w:eastAsia="Arial" w:hAnsi="Arial"/>
                <w:color w:val="1A1A1A"/>
                <w:sz w:val="21"/>
                <w:szCs w:val="21"/>
              </w:rPr>
              <w:t xml:space="preserve">Combining property tax deferral, permit fee waivers, expedited review schedule savings, and GRT reinvestment, the total MRA incentive package for the Hub is estimated at $75,000-$150,000 over the first five years of operation. This is meaningful but not transformative -- it represents roughly 5-10% of total project cost. It is enough to shift the financial model from marginal to comfortable on certain cost lines, but not enough on its own to justify a location that underperforms on foot traffic.</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K.3 The Shoto Mixed-Use Hub: The Catalytic Site Opportunity</w:t>
      </w:r>
    </w:p>
    <w:p>
      <w:pPr>
        <w:spacing w:before="60" w:after="80"/>
      </w:pPr>
      <w:r>
        <w:rPr>
          <w:rFonts w:ascii="Arial" w:cs="Arial" w:eastAsia="Arial" w:hAnsi="Arial"/>
          <w:color w:val="1A1A1A"/>
          <w:sz w:val="22"/>
          <w:szCs w:val="22"/>
        </w:rPr>
        <w:t xml:space="preserve">The W. Picacho MRA plan identifies three catalytic projects. The Shoto mixed-use hub -- approximately 42 acres near Tashiro Drive -- is envisioned as a shopping center/plaza development and is the site most relevant to a food hall. The city is actively seeking private developers to anchor this vision.</w:t>
      </w:r>
    </w:p>
    <w:p>
      <w:pPr>
        <w:spacing w:before="80" w:after="80"/>
      </w:pPr>
      <w:r>
        <w:t xml:space="preserve"/>
      </w:r>
    </w:p>
    <w:p>
      <w:pPr>
        <w:spacing w:before="60" w:after="80"/>
      </w:pPr>
      <w:r>
        <w:rPr>
          <w:rFonts w:ascii="Arial" w:cs="Arial" w:eastAsia="Arial" w:hAnsi="Arial"/>
          <w:color w:val="1A1A1A"/>
          <w:sz w:val="22"/>
          <w:szCs w:val="22"/>
        </w:rPr>
        <w:t xml:space="preserve">For John, this creates a rare scenario: rather than leasing space in someone else's building, the Hub could potentially become the anchor tenant or co-developer of a purpose-built mixed-use development on the Shoto site, with the city as an active partner rather than a regulatory gatekeeper. Purpose-built food halls consistently outperform adaptive reuse conversions on buildout efficiency, kitchen layout flexibility, and long-term lease terms.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Shoto Site Factor</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 for Hub</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~42 acres near Tashiro Drive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 more space than needed for the Hub alone; the Hub would likely be one anchor among several uses -- housing, retail, parking. This requires a co-developer partner unless John wants to take on the full development.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City-identified as catalytic project</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staff are actively looking for private developers to bring this to life. John contacting Blairre Flores at Las Cruces Economic Development before any other developer claims this conversation is time-sensitive.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Purpose-built construction possible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 ground-up food hall designed for 13 kitchen stalls from the start eliminates most of the adaptive reuse risks: asbestos, undersized electrical service, non-standard plumbing. Buildout cost per stall decreases; timeline reliability increases.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Parking is solvable</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42-acre site means parking is not a constraint. A food hall at this scale needs 80-120 surface parking spaces; the Shoto site can accommodate this without shared parking arrangements or structured parking costs.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Residential adjacency</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plan includes affordable and multi-family housing components. Residential density adjacent to the Hub is a significant foot traffic driver -- residents of the development become regular Hub customers by default.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K.4 Honest Assessment: What the MRA Location Gives Up</w:t>
      </w:r>
    </w:p>
    <w:p>
      <w:pPr>
        <w:spacing w:before="60" w:after="80"/>
      </w:pPr>
      <w:r>
        <w:rPr>
          <w:rFonts w:ascii="Arial" w:cs="Arial" w:eastAsia="Arial" w:hAnsi="Arial"/>
          <w:color w:val="1A1A1A"/>
          <w:sz w:val="22"/>
          <w:szCs w:val="22"/>
        </w:rPr>
        <w:t xml:space="preserve">The MRA opportunity is real. The incentives are documented. The Shoto site is a genuine opening. But a balanced analysis requires acknowledging the meaningful advantages the Hub would sacrifice by moving from downtown to the W. Picacho corridor.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This Is Not a Knock on the MRA -- It Is an Accurate Trade-Off Inventory</w:t>
            </w:r>
          </w:p>
          <w:p>
            <w:pPr>
              <w:spacing w:before="40"/>
            </w:pPr>
            <w:r>
              <w:rPr>
                <w:rFonts w:ascii="Arial" w:cs="Arial" w:eastAsia="Arial" w:hAnsi="Arial"/>
                <w:color w:val="1A1A1A"/>
                <w:sz w:val="21"/>
                <w:szCs w:val="21"/>
              </w:rPr>
              <w:t xml:space="preserve">The following concerns are not reasons to reject the MRA option. They are the specific questions John must answer through site research before any decision is made. Every item below has a potential resolution -- but that resolution requires data, not assumptions.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Downtown Offers</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West Picacho Currently Lacks</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Resolution Path</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pedestrian foot traffic from DLCP events, Saturday Farmers Market (one of the top-rated in the country per Visit Las Cruces), and existing restaurant district energy</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W. Picacho corridor is described by the city's own planning team as underutilized and in need of revitalization -- meaning foot traffic is currently low and must be built, not captured</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Residential development adjacent to Shoto hub would generate organic foot traffic over time; requires 2-5 year patience period before hub-level foot traffic matches downtown levels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DLCP Renovate Main Street grant eligibility (matching grant for building improvements in downtown zone)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Renovate Main Street grant is specific to the DLCP downtown boundary -- the MRA does not provide an equivalent matching grant program</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whether any MRA-specific building improvement grant exists; if not, the permit fee waiver is the nearest equivalent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Proximity to NMSU campus (12,000+ students; key demographic)</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West Picacho is further from NMSU campus than downtown -- students without cars face accessibility barriers</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Confirmed public transit connections and bike infrastructure along W. Picacho should be verified before concluding this is a barrier</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Tourism ecosystem: Visit Las Cruces Visitor Center on S. Main, proximity to Old Mesilla, downtown dining district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 Picacho corridor is not currently part of the tourism circuit that brings Albuquerque/El Paso visitors into Las Cruces for a day trip</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Hub's tourism draw must be self-generating in this location rather than benefiting from existing tourism infrastructure; requires stronger Visit Las Cruces co-marketing partnership</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Las Cruces Partnership advocacy, marketing support, and established merchant network</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has a city coordinator (Blairre Flores) but no equivalent of DLCP's established small business support and community marketing ecosystem</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MRA committee becomes the relevant relationship; assess their capacity and resources for ongoing business support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Established narrative: 'downtown culinary destination'</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W. Picacho narrative is 'revitalization zone' -- a harder story to sell to first-time visitors and grant reviewers who associate food destinations with walkable urban cores</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Reframe as 'neighborhood culinary hub serving the communities where Las Cruces families actually live' -- a different but potentially equally compelling narrative for equity-focused grant programs</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K.5 Site Decision Framework: The Four Questions to Answer Before Deciding</w:t>
      </w:r>
    </w:p>
    <w:p>
      <w:pPr>
        <w:spacing w:before="60" w:after="80"/>
      </w:pPr>
      <w:r>
        <w:rPr>
          <w:rFonts w:ascii="Arial" w:cs="Arial" w:eastAsia="Arial" w:hAnsi="Arial"/>
          <w:color w:val="1A1A1A"/>
          <w:sz w:val="22"/>
          <w:szCs w:val="22"/>
        </w:rPr>
        <w:t xml:space="preserve">The MRA vs. downtown decision should not be made based on incentive packages alone. It should be made based on the answers to four specific questions that only site-level research can resolve.</w:t>
      </w:r>
    </w:p>
    <w:p>
      <w:pPr>
        <w:spacing w:before="80" w:after="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Question</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to Answer It</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Decision Implication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 What is the actual rent differential between a downtown site and a W. Picacho corridor site?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Request quotes from NAI 1st Valley or SVN commercial brokers for comparable sq footage in both areas. Downtown adaptive reuse: $12-$18/sq ft NNN annually. W. Picacho corridor: likely $6-$10/sq ft NNN annually.</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downtown costs $12/sq ft ($96K/year) and W. Picacho costs $7/sq ft ($56K/year), the MRA saves $40,000/year before any incentives. At that level, the incentive package makes the MRA decisively superior financially. If rents are similar, the downtown foot traffic advantage wins.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 Is public transit connecting the W. Picacho corridor to NMSU and downtown adequate?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Check RoadRUNNER Transit route maps. The 2 and 4 routes serve W. Picacho. Confirm stop proximity to the Shoto site specifically.</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transit connectivity to NMSU is within 0.5 miles of a stop, the student demographic accessibility concern is mitigated significantly.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 Is the Shoto site truly available, and on what terms would the city partner with a private developer?</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Blairre Flores directly: (575) 541-2425 or economicdev@las-cruces.org. Ask specifically about the Shoto catalytic site, developer interest to date, and the city's vision for anchor tenant structure.</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If the city is open to a ground lease or co-development arrangement with the Hub as anchor tenant, the Shoto site becomes the strongest possible option. If it requires John to buy 42 acres, it is not viable without a development partner.</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 Do the MRA incentives stack with the existing grant program?</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with MVEDA and City Economic Development whether being in the MRA makes Hub MORE eligible for NMFA, EPE, and HFFF grants -- or whether it changes any eligibility criteria.</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If MRA location strengthens grant eligibility AND provides incentives, the cumulative financial advantage could exceed $200,000 over five years -- a compelling case for the MRA.</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K.6 Strategic Recommendation: Pursue in Parallel, Decide by Month 3</w:t>
      </w:r>
    </w:p>
    <w:p>
      <w:pPr>
        <w:spacing w:before="60" w:after="80"/>
      </w:pPr>
      <w:r>
        <w:rPr>
          <w:rFonts w:ascii="Arial" w:cs="Arial" w:eastAsia="Arial" w:hAnsi="Arial"/>
          <w:color w:val="1A1A1A"/>
          <w:sz w:val="22"/>
          <w:szCs w:val="22"/>
        </w:rPr>
        <w:t xml:space="preserve">The W. Picacho MRA opportunity is sufficiently compelling that John should pursue both the downtown site search and the MRA site conversation simultaneously through Phase 1, and make a final site decision by Month 3 before any lease is signed or architect is retained. Here is the specific action sequence:</w:t>
      </w:r>
    </w:p>
    <w:p>
      <w:pPr>
        <w:spacing w:before="80" w:after="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39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Action</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Who</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When</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Expected Outcome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Contact Blairre Flores at City Economic Development to introduce the Hub concept and request a meeting about the Shoto catalytic site. Frame as 'I am a private developer interested in anchoring the Shoto hub with a food hall and culinary incubator -- who should I be talking to?'</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 of Phase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Meeting with city economic development team; clarity on Shoto site availability and partnership terms; access to MRA plan documents and incentive application process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commercial real estate quotes for both downtown adaptive reuse buildings (8,000+ sq ft) and W. Picacho corridor sites (including any available buildings near the Shoto footprint). Use NAI 1st Valley.</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John + Commercial RE Broker</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Weeks 1-2 of Phase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Side-by-side rent comparison enabling the core financial analysis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RoadRUNNER Transit connectivity from NMSU to W. Picacho corridor. Confirm Route 2 and Route 4 stop proximity to Shoto site.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1</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Either confirms or eliminates the student accessibility concern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Confirm with MVEDA whether MRA location strengthens or changes EPE Economic Development Fund eligibility</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John + MVEDA meeting</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Week 2-3 of Phase 1</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Clear picture of whether incentive stacking is possible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Assess whether DLCP Renovate Main Street grant (up to $50,000 matching) can be substituted or exceeded by MRA permit fee waivers and city financial assistance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John + City Economic Dev</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Week 2-3</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Determines whether the grant stack favors downtown or MRA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Make final site decision based on answers to K.5 four questions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John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 3 -- before lease signing or architect retention</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Committed site enables all subsequent Phase 2 activities: architectural drawings, permit applications, NMED stall reviews, SBA loan real estate documentation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K.7 How the MRA Option Changes the Business Plan Narrative</w:t>
      </w:r>
    </w:p>
    <w:p>
      <w:pPr>
        <w:spacing w:before="60" w:after="80"/>
      </w:pPr>
      <w:r>
        <w:rPr>
          <w:rFonts w:ascii="Arial" w:cs="Arial" w:eastAsia="Arial" w:hAnsi="Arial"/>
          <w:color w:val="1A1A1A"/>
          <w:sz w:val="22"/>
          <w:szCs w:val="22"/>
        </w:rPr>
        <w:t xml:space="preserve">If John selects the W. Picacho MRA location, several sections of the business plan require updates to reflect the changed positioning. The core concept, financial model, and incubator structure are unchanged. What shifts is the market narrative and the grant application framing.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Business Plan Section</w:t>
            </w:r>
          </w:p>
        </w:tc>
        <w:tc>
          <w:tcPr>
            <w:tcW w:type="dxa" w:w="3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Narrative</w:t>
            </w:r>
          </w:p>
        </w:tc>
        <w:tc>
          <w:tcPr>
            <w:tcW w:type="dxa" w:w="40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MRA/W. Picacho Narrative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 Opportunity (Section 2)</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Captures downtown dining occasions; benefits from existing foot traffic; positions Hub as destination for NMSU students and regional visitors</w:t>
            </w:r>
          </w:p>
        </w:tc>
        <w:tc>
          <w:tcPr>
            <w:tcW w:type="dxa" w:w="4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Serves underserved residential neighborhoods directly; the corridor's existing low-income and working-class community becomes the primary served population; stronger equity and food access narrative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Site and Location (Section 11)</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revitalization zone; adaptive reuse of existing commercial building; walkable from Farmers Market and DLCP district'</w:t>
            </w:r>
          </w:p>
        </w:tc>
        <w:tc>
          <w:tcPr>
            <w:tcW w:type="dxa" w:w="4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catalytic site; purpose-built food hall anchoring the Shoto mixed-use development; city-supported revitalization project serving the W. Picacho corridor community'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Grant Applications (Section 12)</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 alignment with DLCP Renovate Main Street; downtown economic development framing; tourism co-marketing with Visit Las Cruces</w:t>
            </w:r>
          </w:p>
        </w:tc>
        <w:tc>
          <w:tcPr>
            <w:tcW w:type="dxa" w:w="4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 alignment with MRA reinvestment goals; equity and food access framing for USDA LFPP and HFFF; 'catalytic private investment in designated MRA' framing for NMFA and EPE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Risk Register (Section 13)</w:t>
            </w:r>
          </w:p>
        </w:tc>
        <w:tc>
          <w:tcPr>
            <w:tcW w:type="dxa" w:w="3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 site risk (established commercial zone); medium foot traffic risk (must build Hub identity within existing dining competition)</w:t>
            </w:r>
          </w:p>
        </w:tc>
        <w:tc>
          <w:tcPr>
            <w:tcW w:type="dxa" w:w="40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site risk (corridor is in early revitalization phase; foot traffic must be built); LOW financial risk (incentives + lower rents improve margins significantly)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Economic Impact (Section 10)</w:t>
            </w:r>
          </w:p>
        </w:tc>
        <w:tc>
          <w:tcPr>
            <w:tcW w:type="dxa" w:w="3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Creates new dining destination in existing commercial core; adds to downtown evening economy</w:t>
            </w:r>
          </w:p>
        </w:tc>
        <w:tc>
          <w:tcPr>
            <w:tcW w:type="dxa" w:w="40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Serves as anchor investment for MRA revitalization; directly creates jobs and GRT growth in a designated underinvested corridor; stronger economic development impact argument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One Risk to Name Explicitly for Investors</w:t>
            </w:r>
          </w:p>
          <w:p>
            <w:pPr>
              <w:spacing w:before="40"/>
            </w:pPr>
            <w:r>
              <w:rPr>
                <w:rFonts w:ascii="Arial" w:cs="Arial" w:eastAsia="Arial" w:hAnsi="Arial"/>
                <w:color w:val="1A1A1A"/>
                <w:sz w:val="21"/>
                <w:szCs w:val="21"/>
              </w:rPr>
              <w:t xml:space="preserve">The W. Picacho corridor is currently described by city planning staff as a 20-year transformation plan -- meaning the city is not promising that surrounding infrastructure improvements, new housing development, and pedestrian activation will happen on any specific schedule. The Hub's success cannot depend on the city's revitalization timeline. It must be underwritten on the basis of the Hub generating its own foot traffic from Day 1, with the MRA improvements as upside rather than baseline assumption. Any investor presentation using the MRA narrative must make this distinction clear.</w:t>
            </w:r>
          </w:p>
        </w:tc>
      </w:tr>
    </w:tbl>
    <w:p>
      <w:pPr>
        <w:spacing w:before="80" w:after="80"/>
      </w:pPr>
      <w:r>
        <w:t xml:space="preserve"/>
      </w:r>
    </w:p>
    <w:p>
      <w:pPr>
        <w:spacing w:before="60" w:after="80"/>
      </w:pPr>
      <w:r>
        <w:rPr>
          <w:rFonts w:ascii="Arial" w:cs="Arial" w:eastAsia="Arial" w:hAnsi="Arial"/>
          <w:i/>
          <w:iCs/>
          <w:color w:val="555555"/>
          <w:sz w:val="20"/>
          <w:szCs w:val="20"/>
        </w:rPr>
        <w:t xml:space="preserve">Sources: City of Las Cruces Economic Development -- W. Picacho and Motel Boulevard MRA page (lascruces.gov); KRWG Public Media reporting on March 16, 2026 City Council GRT increment financing approval; KFOX14/CBS4 reporting on W. Picacho revitalization plans; Stantec (West Picacho Metropolitan Redevelopment Plan project description); Classic Hits 101 Gold reporting on October 2025 public input period; NM MainStreet MRA Implementation Toolkit; MRA boundary map provided. Contact: Blairre Flores, Las Cruces Economic Development Coordinator, 575-541-2425.</w:t>
      </w:r>
    </w:p>
    <w:p>
      <w:r>
        <w:br w:type="page"/>
      </w:r>
    </w:p>
    <w:p>
      <w:pPr>
        <w:pStyle w:val="Heading1"/>
        <w:pBdr>
          <w:bottom w:val="single" w:color="2563A8" w:sz="6" w:space="8"/>
        </w:pBdr>
        <w:spacing w:before="480" w:after="140"/>
      </w:pPr>
      <w:r>
        <w:rPr>
          <w:rFonts w:ascii="Arial" w:cs="Arial" w:eastAsia="Arial" w:hAnsi="Arial"/>
          <w:b/>
          <w:bCs/>
          <w:color w:val="1B3A5C"/>
          <w:sz w:val="36"/>
          <w:szCs w:val="36"/>
        </w:rPr>
        <w:t xml:space="preserve">Supplement L: W. Picacho MRA -- Market Data, Phasing Model, and Concept Refinement</w:t>
      </w:r>
    </w:p>
    <w:p>
      <w:pPr>
        <w:spacing w:before="60" w:after="80"/>
      </w:pPr>
      <w:r>
        <w:rPr>
          <w:rFonts w:ascii="Arial" w:cs="Arial" w:eastAsia="Arial" w:hAnsi="Arial"/>
          <w:color w:val="1A1A1A"/>
          <w:sz w:val="22"/>
          <w:szCs w:val="22"/>
        </w:rPr>
        <w:t xml:space="preserve">Supplement K analyzed the MRA financial incentives and site decision framework. This supplement incorporates newly available market research data to strengthen the quantitative case for the MRA location and introduces a phased development model that substantially de-risks the capital commitment. Together, Supplements K and L constitute the complete MRA opportunity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What This Supplement Adds to Supplement K</w:t>
            </w:r>
          </w:p>
          <w:p>
            <w:pPr>
              <w:spacing w:before="40"/>
            </w:pPr>
            <w:r>
              <w:rPr>
                <w:rFonts w:ascii="Arial" w:cs="Arial" w:eastAsia="Arial" w:hAnsi="Arial"/>
                <w:color w:val="1A1A1A"/>
                <w:sz w:val="21"/>
                <w:szCs w:val="21"/>
              </w:rPr>
              <w:t xml:space="preserve">Supplement K answered: what are the MRA incentives, what does the Hub give up by leaving downtown, and what four questions should drive the site decision. This supplement answers: what does the market data actually say about demand at this specific location, how does a phased outdoor-first model change the financial risk profile, and how should the concept be positioned differently for the W. Picacho community versus downtown. These are the data gaps that remained after Supplement K.</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L.1 Quantified Market Data: Who Is Actually in This Trade Area</w:t>
      </w:r>
    </w:p>
    <w:p>
      <w:pPr>
        <w:spacing w:before="60" w:after="80"/>
      </w:pPr>
      <w:r>
        <w:rPr>
          <w:rFonts w:ascii="Arial" w:cs="Arial" w:eastAsia="Arial" w:hAnsi="Arial"/>
          <w:color w:val="1A1A1A"/>
          <w:sz w:val="22"/>
          <w:szCs w:val="22"/>
        </w:rPr>
        <w:t xml:space="preserve">The W. Picacho corridor serves a distinct demographic profile from downtown Las Cruces. This is not a weakness -- it is a different customer opportunity that requires a different positioning strategy. The data below is drawn from current census and traffic sources and should be used directly in Section 2 (Market Analysis) if the MRA site is selected.</w:t>
      </w:r>
    </w:p>
    <w:p>
      <w:pPr>
        <w:spacing w:before="80" w:after="80"/>
      </w:pPr>
      <w:r>
        <w:t xml:space="preserve"/>
      </w:r>
    </w:p>
    <w:p>
      <w:pPr>
        <w:spacing w:before="220" w:after="80"/>
      </w:pPr>
      <w:r>
        <w:rPr>
          <w:rFonts w:ascii="Arial" w:cs="Arial" w:eastAsia="Arial" w:hAnsi="Arial"/>
          <w:b/>
          <w:bCs/>
          <w:color w:val="14746F"/>
          <w:sz w:val="24"/>
          <w:szCs w:val="24"/>
        </w:rPr>
        <w:t xml:space="preserve">Population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Metric</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Figure</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population (2025 estimate)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~117,000</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Neilsberg; annual growth rate ~0.92%</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Las Cruces metro area (MSA)</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~229,000</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Includes Dona Ana County; broadens the regional catchment for a destination food hall</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Population growth trajectory</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Projected 120,000-125,000 by late 2020s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Driven by aerospace, film, renewable energy, and AI data center sectors now entering the market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household income (citywide)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~$55,012</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City average; W. Picacho corridor neighborhoods trend lower, toward $30,000-$40,000 -- real price sensitivity that shapes menu design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Hispanic/Latino population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~59-60% of city</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Directly aligns with a culinary program leading with New Mexican and Mexican food traditions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age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~33.6 years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Young city; favorable for a social dining destination format</w:t>
            </w:r>
          </w:p>
        </w:tc>
      </w:tr>
    </w:tbl>
    <w:p>
      <w:pPr>
        <w:spacing w:before="80" w:after="80"/>
      </w:pPr>
      <w:r>
        <w:t xml:space="preserve"/>
      </w:r>
    </w:p>
    <w:p>
      <w:pPr>
        <w:spacing w:before="220" w:after="80"/>
      </w:pPr>
      <w:r>
        <w:rPr>
          <w:rFonts w:ascii="Arial" w:cs="Arial" w:eastAsia="Arial" w:hAnsi="Arial"/>
          <w:b/>
          <w:bCs/>
          <w:color w:val="14746F"/>
          <w:sz w:val="24"/>
          <w:szCs w:val="24"/>
        </w:rPr>
        <w:t xml:space="preserve">Traffic Counts: The W. Picacho Corridor Is Not a Low-Traffic Area</w:t>
      </w:r>
    </w:p>
    <w:p>
      <w:pPr>
        <w:spacing w:before="60" w:after="80"/>
      </w:pPr>
      <w:r>
        <w:rPr>
          <w:rFonts w:ascii="Arial" w:cs="Arial" w:eastAsia="Arial" w:hAnsi="Arial"/>
          <w:color w:val="1A1A1A"/>
          <w:sz w:val="22"/>
          <w:szCs w:val="22"/>
        </w:rPr>
        <w:t xml:space="preserve">One concern about the W. Picacho location is whether it has adequate drive-by visibility and vehicle access compared to downtown. Traffic count data resolves this concern directly.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Location</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Daily Vehicle Count</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Implication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W. Picacho Ave intersections (corridor average)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~18,000-19,000 vehicles/day</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Comparable to or exceeding many successful food hall locations nationally; strong drive-by visibility for a destination food venue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Main Street (comparison)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Lower -- downtown Las Cruces is a destination corridor, not a through-traffic corridor</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The Hub at a W. Picacho location benefits from BOTH destination visits AND drive-by capture; downtown relies primarily on intentional visits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Motel Boulevard (corridor)</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traffic; existing commercial anchors (Walgreens, Subway, AutoZone at Picacho/Motel intersection)</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Established commercial activity proves the corridor supports daily shopping trips -- natural occasion to add a food stop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Traffic Count Implication for the Business Plan</w:t>
            </w:r>
          </w:p>
          <w:p>
            <w:pPr>
              <w:spacing w:before="40"/>
            </w:pPr>
            <w:r>
              <w:rPr>
                <w:rFonts w:ascii="Arial" w:cs="Arial" w:eastAsia="Arial" w:hAnsi="Arial"/>
                <w:color w:val="1A1A1A"/>
                <w:sz w:val="21"/>
                <w:szCs w:val="21"/>
              </w:rPr>
              <w:t xml:space="preserve">18,000-19,000 vehicles per day along W. Picacho is a stronger drive-by traffic base than most downtown Las Cruces streets. Combined with the residential density of the surrounding neighborhoods, this corridor offers a high-frequency customer base that visits for everyday occasions -- not just destination dining. A food hall that captures even 0.5% of daily pass-through traffic (90-95 vehicles converting to visitors) at $20 average spend generates $657,000/year in traffic-capture revenue alone, before any destination visits are counted.</w:t>
            </w:r>
          </w:p>
        </w:tc>
      </w:tr>
    </w:tbl>
    <w:p>
      <w:pPr>
        <w:spacing w:before="80" w:after="80"/>
      </w:pPr>
      <w:r>
        <w:t xml:space="preserve"/>
      </w:r>
    </w:p>
    <w:p>
      <w:pPr>
        <w:spacing w:before="220" w:after="80"/>
      </w:pPr>
      <w:r>
        <w:rPr>
          <w:rFonts w:ascii="Arial" w:cs="Arial" w:eastAsia="Arial" w:hAnsi="Arial"/>
          <w:b/>
          <w:bCs/>
          <w:color w:val="14746F"/>
          <w:sz w:val="24"/>
          <w:szCs w:val="24"/>
        </w:rPr>
        <w:t xml:space="preserve">Behavioral Evidence: Locals Already Show Up for Multi-Vendor Food</w:t>
      </w:r>
    </w:p>
    <w:p>
      <w:pPr>
        <w:spacing w:before="60" w:after="80"/>
      </w:pPr>
      <w:r>
        <w:rPr>
          <w:rFonts w:ascii="Arial" w:cs="Arial" w:eastAsia="Arial" w:hAnsi="Arial"/>
          <w:color w:val="1A1A1A"/>
          <w:sz w:val="22"/>
          <w:szCs w:val="22"/>
        </w:rPr>
        <w:t xml:space="preserve">One of the strongest arguments against a food hall in a new location is the question of whether the local population will change its dining behavior. In the W. Picacho MRA trade area, the behavioral evidence says they already have:</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Farmers &amp; Crafts Market of Las Cruces, described by Visit Las Cruces as one of the top-rated farmers markets in the country, regularly draws crowds who move between multiple vendors in a shared outdoor format -- exactly the multi-vendor food experience the Hub provides in a permanent setting.</w:t>
      </w:r>
    </w:p>
    <w:p>
      <w:pPr>
        <w:pStyle w:val="ListParagraph"/>
        <w:numPr>
          <w:ilvl w:val="0"/>
          <w:numId w:val="2"/>
        </w:numPr>
        <w:spacing w:before="40" w:after="40"/>
      </w:pPr>
      <w:r>
        <w:rPr>
          <w:rFonts w:ascii="Arial" w:cs="Arial" w:eastAsia="Arial" w:hAnsi="Arial"/>
          <w:color w:val="1A1A1A"/>
          <w:sz w:val="22"/>
          <w:szCs w:val="22"/>
        </w:rPr>
        <w:t xml:space="preserve">Food truck clusters operate throughout the city along Solano and Lohman, demonstrating comfort with ordering from non-traditional food service formats.</w:t>
      </w:r>
    </w:p>
    <w:p>
      <w:pPr>
        <w:pStyle w:val="ListParagraph"/>
        <w:numPr>
          <w:ilvl w:val="0"/>
          <w:numId w:val="2"/>
        </w:numPr>
        <w:spacing w:before="40" w:after="40"/>
      </w:pPr>
      <w:r>
        <w:rPr>
          <w:rFonts w:ascii="Arial" w:cs="Arial" w:eastAsia="Arial" w:hAnsi="Arial"/>
          <w:color w:val="1A1A1A"/>
          <w:sz w:val="22"/>
          <w:szCs w:val="22"/>
        </w:rPr>
        <w:t xml:space="preserve">The Borderland Car Show &amp; Food Truck Festival drew 25 food trucks and an estimated 5,000-10,000 attendees, proving that a curated, multi-vendor food event is not a foreign concept to Las Cruces residents -- it is already a proven draw when promoted.</w:t>
      </w:r>
    </w:p>
    <w:p>
      <w:pPr>
        <w:pStyle w:val="ListParagraph"/>
        <w:numPr>
          <w:ilvl w:val="0"/>
          <w:numId w:val="2"/>
        </w:numPr>
        <w:spacing w:before="40" w:after="40"/>
      </w:pPr>
      <w:r>
        <w:rPr>
          <w:rFonts w:ascii="Arial" w:cs="Arial" w:eastAsia="Arial" w:hAnsi="Arial"/>
          <w:color w:val="1A1A1A"/>
          <w:sz w:val="22"/>
          <w:szCs w:val="22"/>
        </w:rPr>
        <w:t xml:space="preserve">Informal food truck park experiments in parking lots have emerged organically, showing market pull without any formal infrastructure. The Hub formalizes and upgrades what the market is already trying to create on its 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What the Behavioral Evidence Does Not Prove</w:t>
            </w:r>
          </w:p>
          <w:p>
            <w:pPr>
              <w:spacing w:before="40"/>
            </w:pPr>
            <w:r>
              <w:rPr>
                <w:rFonts w:ascii="Arial" w:cs="Arial" w:eastAsia="Arial" w:hAnsi="Arial"/>
                <w:color w:val="1A1A1A"/>
                <w:sz w:val="21"/>
                <w:szCs w:val="21"/>
              </w:rPr>
              <w:t xml:space="preserve">Event attendance at a festival or farmers market does not directly validate a permanent, year-round food hall at a specific address. The Borderland Car Show drew 5,000-10,000 for a single event; a permanent food hall needs 2,500-3,500 unique visitors per week sustained across 52 weeks. The behavioral evidence validates the format and the appetite -- it does not substitute for a pre-opening market survey or signed vendor LOIs as the primary demand validation tools.</w:t>
            </w:r>
          </w:p>
        </w:tc>
      </w:tr>
    </w:tbl>
    <w:p>
      <w:pPr>
        <w:spacing w:before="80" w:after="80"/>
      </w:pPr>
      <w:r>
        <w:t xml:space="preserve"/>
      </w:r>
    </w:p>
    <w:p>
      <w:pPr>
        <w:spacing w:before="220" w:after="80"/>
      </w:pPr>
      <w:r>
        <w:rPr>
          <w:rFonts w:ascii="Arial" w:cs="Arial" w:eastAsia="Arial" w:hAnsi="Arial"/>
          <w:b/>
          <w:bCs/>
          <w:color w:val="14746F"/>
          <w:sz w:val="24"/>
          <w:szCs w:val="24"/>
        </w:rPr>
        <w:t xml:space="preserve">Tourism Layer: The Hub as an Authentic Visitor Stop</w:t>
      </w:r>
    </w:p>
    <w:p>
      <w:pPr>
        <w:spacing w:before="60" w:after="80"/>
      </w:pPr>
      <w:r>
        <w:rPr>
          <w:rFonts w:ascii="Arial" w:cs="Arial" w:eastAsia="Arial" w:hAnsi="Arial"/>
          <w:color w:val="1A1A1A"/>
          <w:sz w:val="22"/>
          <w:szCs w:val="22"/>
        </w:rPr>
        <w:t xml:space="preserve">The W. Picacho corridor's position near I-10 and in the path of visitors traveling between El Paso, White Sands, and Old Mesilla creates a tourism capture opportunity that downtown Las Cruces already exploits and the MRA location can equally access: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Tourism Data Point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Figure</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Relevance to Hub</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Mexico tourism revenue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Record or near-record levels; billions in annual visitor spending</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as second-largest NM city captures a meaningful share; Hub positioned as 'authentic taste of Las Cruces' stop</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Visitor spending on food &amp; beverage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~25% of total visitor spend</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At statewide tourism revenue of $7B+, food &amp; beverage represents $1.75B+ annually; Las Cruces's share is the relevant figure to pursue from Visit Las Cruces's data</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Organ Mountains-Desert Peaks National Monument cumulative economic impact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$200M+ cumulative</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Visitors to OMDP who pass through Las Cruces represent a capturable dining occasion; Hub's authentic NM culinary identity is the right product for this visitor</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White Sands National Park + I-10 corridor traffic</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Major through-traffic corridor</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 Picacho is directly accessible from I-10; a food hub with clear highway visibility and signage captures transit travelers in a way downtown cannot</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L.2 Concept Adaptation: How the Hub's Menu and Positioning Shift for This Location</w:t>
      </w:r>
    </w:p>
    <w:p>
      <w:pPr>
        <w:spacing w:before="60" w:after="80"/>
      </w:pPr>
      <w:r>
        <w:rPr>
          <w:rFonts w:ascii="Arial" w:cs="Arial" w:eastAsia="Arial" w:hAnsi="Arial"/>
          <w:color w:val="1A1A1A"/>
          <w:sz w:val="22"/>
          <w:szCs w:val="22"/>
        </w:rPr>
        <w:t xml:space="preserve">Moving from a downtown location to the W. Picacho MRA corridor is not simply a change of address. It is a repositioning of the Hub's primary customer relationship -- from NMSU students and downtown visitors to the working families and households who live within 1-3 miles of the corridor. This requires deliberate adaptation of three elements: the vendor mix, the pricing model, and the cultural framing.</w:t>
      </w:r>
    </w:p>
    <w:p>
      <w:pPr>
        <w:spacing w:before="80" w:after="80"/>
      </w:pPr>
      <w:r>
        <w:t xml:space="preserve"/>
      </w:r>
    </w:p>
    <w:p>
      <w:pPr>
        <w:spacing w:before="220" w:after="80"/>
      </w:pPr>
      <w:r>
        <w:rPr>
          <w:rFonts w:ascii="Arial" w:cs="Arial" w:eastAsia="Arial" w:hAnsi="Arial"/>
          <w:b/>
          <w:bCs/>
          <w:color w:val="14746F"/>
          <w:sz w:val="24"/>
          <w:szCs w:val="24"/>
        </w:rPr>
        <w:t xml:space="preserve">Vendor Mix Adaptation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Hub Model</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 Picacho MRA Hub Model</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Rationale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 -- owner-operated, 100% revenue, anchor slot secured without vendor recruitment students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Mexican and Mexican concepts as permanent anchors -- 2-3 stalls leading with red/green chile, tamales, tacos al pastor, burritos</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59-60% Hispanic population and existing food truck culture means these concepts already have built-in demand; they are not a risk -- they are the floor</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Equal emphasis on all 10-13 concepts as novel discoveries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NM/Mexican anchors (4-5 stalls) + complementary concepts (Thai, Mediterranean, Asian Fusion) as secondary draws</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Complementary concepts still expand the menu; they are framed as additions to a Mexican-food-first foundation, not replacements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bar as primary beverage destination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Cider bar remains; add aguas frescas, horchata, and Latin beverage options alongside cider program</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Price-accessible beverages serve the lower-income trade area; cider serves tourism and destination visitors; both coexist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$15-20 average entree price point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$9-14 average entree target for primary menu; $15-20 for specialty and cider-pairing concepts</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HH income of $30,000-$40,000 in the immediate corridor means everyday affordability is not optional -- it is the core value proposition</w:t>
            </w:r>
          </w:p>
        </w:tc>
      </w:tr>
    </w:tbl>
    <w:p>
      <w:pPr>
        <w:spacing w:before="80" w:after="80"/>
      </w:pPr>
      <w:r>
        <w:t xml:space="preserve"/>
      </w:r>
    </w:p>
    <w:p>
      <w:pPr>
        <w:spacing w:before="220" w:after="80"/>
      </w:pPr>
      <w:r>
        <w:rPr>
          <w:rFonts w:ascii="Arial" w:cs="Arial" w:eastAsia="Arial" w:hAnsi="Arial"/>
          <w:b/>
          <w:bCs/>
          <w:color w:val="14746F"/>
          <w:sz w:val="24"/>
          <w:szCs w:val="24"/>
        </w:rPr>
        <w:t xml:space="preserve">The Borderland Food Hub Positioning Statement</w:t>
      </w:r>
    </w:p>
    <w:p>
      <w:pPr>
        <w:spacing w:before="60" w:after="80"/>
      </w:pPr>
      <w:r>
        <w:rPr>
          <w:rFonts w:ascii="Arial" w:cs="Arial" w:eastAsia="Arial" w:hAnsi="Arial"/>
          <w:color w:val="1A1A1A"/>
          <w:sz w:val="22"/>
          <w:szCs w:val="22"/>
        </w:rPr>
        <w:t xml:space="preserve">For the W. Picacho MRA location, the Hub's positioning statement shifts from the downtown version. The following language is ready for insertion into Section 3 (Concept Overview) if the MRA site is selected: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Recommended Positioning Statement -- W. Picacho MRA Version</w:t>
            </w:r>
          </w:p>
          <w:p>
            <w:pPr>
              <w:spacing w:before="40"/>
            </w:pPr>
            <w:r>
              <w:rPr>
                <w:rFonts w:ascii="Arial" w:cs="Arial" w:eastAsia="Arial" w:hAnsi="Arial"/>
                <w:color w:val="1A1A1A"/>
                <w:sz w:val="21"/>
                <w:szCs w:val="21"/>
              </w:rPr>
              <w:t xml:space="preserve">A year-round borderland food hub anchoring the W. Picacho corridor revitalization -- bringing together beloved New Mexican and Mexican vendors and complementary concepts in a safe, shaded, family-friendly setting with accessible price points for local residents, and an authentic one-stop taste of Las Cruces for visitors arriving from White Sands, the Organ Mountains, and I-10. Where Las Cruces families eat, gather, and celebrate food the way they always have -- just with a permanent home that's finally worthy of it.</w:t>
            </w:r>
          </w:p>
        </w:tc>
      </w:tr>
    </w:tbl>
    <w:p>
      <w:pPr>
        <w:spacing w:before="80" w:after="80"/>
      </w:pPr>
      <w:r>
        <w:t xml:space="preserve"/>
      </w:r>
    </w:p>
    <w:p>
      <w:pPr>
        <w:spacing w:before="60" w:after="80"/>
      </w:pPr>
      <w:r>
        <w:rPr>
          <w:rFonts w:ascii="Arial" w:cs="Arial" w:eastAsia="Arial" w:hAnsi="Arial"/>
          <w:color w:val="1A1A1A"/>
          <w:sz w:val="22"/>
          <w:szCs w:val="22"/>
        </w:rPr>
        <w:t xml:space="preserve">This positioning deliberately frames the Hub as an upgrade to existing behavior rather than an imported concept. It leads with community identity, not culinary novelty. It names the MRA corridor explicitly, turning a location that investors might view as a risk into the story's central argument. And it speaks directly to the grant review criteria for NMFA, EPE, and equity-focused funders who want to see investment reaching the communities that need it most.</w:t>
      </w:r>
    </w:p>
    <w:p>
      <w:pPr>
        <w:spacing w:before="80" w:after="80"/>
      </w:pPr>
      <w:r>
        <w:t xml:space="preserve"/>
      </w:r>
    </w:p>
    <w:p>
      <w:pPr>
        <w:pStyle w:val="Heading2"/>
        <w:spacing w:before="320" w:after="100"/>
      </w:pPr>
      <w:r>
        <w:rPr>
          <w:rFonts w:ascii="Arial" w:cs="Arial" w:eastAsia="Arial" w:hAnsi="Arial"/>
          <w:b/>
          <w:bCs/>
          <w:color w:val="2563A8"/>
          <w:sz w:val="28"/>
          <w:szCs w:val="28"/>
        </w:rPr>
        <w:t xml:space="preserve">L.3 Phased Development Model: Prove Demand Before Committing Full Capital</w:t>
      </w:r>
    </w:p>
    <w:p>
      <w:pPr>
        <w:spacing w:before="60" w:after="80"/>
      </w:pPr>
      <w:r>
        <w:rPr>
          <w:rFonts w:ascii="Arial" w:cs="Arial" w:eastAsia="Arial" w:hAnsi="Arial"/>
          <w:color w:val="1A1A1A"/>
          <w:sz w:val="22"/>
          <w:szCs w:val="22"/>
        </w:rPr>
        <w:t xml:space="preserve">The most significant new insight from this additional research is the phased development approach. The existing business plan commits to a full 8,000 sq ft indoor food hall buildout from Day 1 -- a $1.4M+ capital commitment before a single customer has visited. At the W. Picacho MRA location, a three-phase model allows the Hub to prove demand at lower capital risk before committing to the permanent enclosed structure.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Why Phasing Changes the Risk Profile</w:t>
            </w:r>
          </w:p>
          <w:p>
            <w:pPr>
              <w:spacing w:before="40"/>
            </w:pPr>
            <w:r>
              <w:rPr>
                <w:rFonts w:ascii="Arial" w:cs="Arial" w:eastAsia="Arial" w:hAnsi="Arial"/>
                <w:color w:val="1A1A1A"/>
                <w:sz w:val="21"/>
                <w:szCs w:val="21"/>
              </w:rPr>
              <w:t xml:space="preserve">The downtown model requires full buildout because downtown rent rates ($12-18/sq ft NNN) make a partial opening economically inefficient -- you are paying for all the space from Day 1. The W. Picacho corridor's lower lease rates ($6-10/sq ft) and the availability of larger parcels near the Shoto site make a phased outdoor-first approach financially viable. Phase 1 generates revenue and market validation data before Phase 2 capital is committed. This is the model that Smallman Galley (Pittsburgh), La Marqueta (New York), and other incubator food markets used successfully.</w:t>
            </w:r>
          </w:p>
        </w:tc>
      </w:tr>
    </w:tbl>
    <w:p>
      <w:pPr>
        <w:spacing w:before="8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800"/>
        <w:gridCol w:w="2200"/>
        <w:gridCol w:w="2160"/>
      </w:tblGrid>
      <w:tr>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Phase</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Format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Timeline</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Capital Required</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Model</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Purpose</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1: Outdoor Foundation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6-8 food truck pads with permanent utility hookups (electric, water, gas), shared covered seating area (30-50 seats), restroom facility, perimeter lighting, parking for 40-60 vehicles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1-12 from lease signing; 4-6 month buildout; 6+ months of operation before Phase 2 decision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$300,000-$500,000 (truck pad infrastructure, utilities, shade structure, restrooms, permitting)</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Truck pad rent: $800-$1,500/month per pad; shared services fees; events programming revenue; cider bar pop-up (trailer or container)</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Prove the market. Generate 6+ months of foot traffic data, revenue data, and vendor performance data before committing Phase 2 capital. De-risks the entire project.</w:t>
            </w:r>
          </w:p>
        </w:tc>
      </w:tr>
      <w:tr>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Permanent Stall Buildout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Convert 4-6 of the most successful truck concepts to permanent enclosed kitchen stalls inside a semi-enclosed or fully enclosed structure. Remaining truck pads continue. Cider bar moves to permanent indoor location.</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Months 13-24; timed based on Phase 1 revenue validation</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$600,000-$900,000 (permanent stalls, enclosed structure, cider bar infrastructure, HVAC, expanded seating to 60-80 seats)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Full vendor license model (base rent + % sales); cider bar program; events programming at full scale</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Scale what worked. Permanent stalls go to vendors proven in Phase 1. Capital is justified by 12 months of operating history -- also making the SBA loan application significantly stronger.</w:t>
            </w:r>
          </w:p>
        </w:tc>
      </w:tr>
      <w:tr>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 3: Full Activation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Complete the mixed-use vision: retail kiosks, music stage, expanded cider bar, potential second-floor programming space or rooftop. Position Hub as the anchor of the broader Shoto mixed-use development.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Months 25-48; coordinated with city MRA infrastructure improvements</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$200,000-$400,000 (programming space, retail kiosks, stage, expanded bar)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Events revenue at scale; retail commission; expanded Cider Club; private event rentals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Become the destination. By Phase 3, the Hub has 2+ years of operating history, a proven vendor mix, and city GRT reinvestment flowing into corridor improvements around it.</w:t>
            </w:r>
          </w:p>
        </w:tc>
      </w:tr>
    </w:tbl>
    <w:p>
      <w:pPr>
        <w:spacing w:before="80" w:after="80"/>
      </w:pPr>
      <w:r>
        <w:t xml:space="preserve"/>
      </w:r>
    </w:p>
    <w:p>
      <w:pPr>
        <w:spacing w:before="220" w:after="80"/>
      </w:pPr>
      <w:r>
        <w:rPr>
          <w:rFonts w:ascii="Arial" w:cs="Arial" w:eastAsia="Arial" w:hAnsi="Arial"/>
          <w:b/>
          <w:bCs/>
          <w:color w:val="14746F"/>
          <w:sz w:val="24"/>
          <w:szCs w:val="24"/>
        </w:rPr>
        <w:t xml:space="preserve">Phase 1 Financial Model: Can the Outdoor-First Approach Cash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Revenue Item</w:t>
            </w:r>
          </w:p>
        </w:tc>
        <w:tc>
          <w:tcPr>
            <w:tcW w:type="dxa" w:w="212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(Conservative)</w:t>
            </w:r>
          </w:p>
        </w:tc>
        <w:tc>
          <w:tcPr>
            <w:tcW w:type="dxa" w:w="212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 (Growth)</w:t>
            </w:r>
          </w:p>
        </w:tc>
        <w:tc>
          <w:tcPr>
            <w:tcW w:type="dxa" w:w="212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Truck pad rent (6 pads x $1,000/mo avg)</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 pads at $1,200 in growth scenario</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Shared services fees (6 pads x $400/mo)</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$2,400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Utilities, WiFi, waste management</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Events programming (2-3 events/month)</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Farmers market days, car show tie-ins, Loteria nights, live music</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Cider bar (trailer or container format)</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$5,000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$9,000</w:t>
            </w:r>
          </w:p>
        </w:tc>
        <w:tc>
          <w:tcPr>
            <w:tcW w:type="dxa" w:w="212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Reduced cider program; 15-20 taps; strong margins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PHASE 1 MONTHLY REVENUE</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$16,400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$27,200</w:t>
            </w:r>
          </w:p>
        </w:tc>
        <w:tc>
          <w:tcPr>
            <w:tcW w:type="dxa" w:w="212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Cost Item</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Monthly</w:t>
            </w:r>
          </w:p>
        </w:tc>
        <w:tc>
          <w:tcPr>
            <w:tcW w:type="dxa" w:w="30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Notes</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Site lease (W. Picacho corridor: 1-2 acres)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$4,000-$7,000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At $6-8/sq ft NNN for 8,000-12,000 sq ft; much lower than downtown</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Staff (Phase 1: reduced; 2-3 FT + part-time)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$12,000-$18,000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Operations manager + cider bar staff + part-time events; no FOH supervisor or full kitchen team yet</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Utilities (reduced; outdoor format)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$3,500-$5,000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Significantly lower than $12,500/month for enclosed facility; outdoor shade structure and minimal HVAC</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Insurance (Phase 1 scope)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$1,200-$1,800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Reduced from full food hall program; outdoor format lowers property values covered</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Marketing</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$2,000-$3,000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Focus on social media, events promotion, community outreach</w:t>
            </w:r>
          </w:p>
        </w:tc>
      </w:tr>
      <w:tr>
        <w:tc>
          <w:tcPr>
            <w:tcW w:type="dxa" w:w="3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Misc / maintenance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$1,000-$1,500</w:t>
            </w:r>
          </w:p>
        </w:tc>
        <w:tc>
          <w:tcPr>
            <w:tcW w:type="dxa" w:w="30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Lower complexity than indoor facility</w:t>
            </w:r>
          </w:p>
        </w:tc>
      </w:tr>
      <w:tr>
        <w:tc>
          <w:tcPr>
            <w:tcW w:type="dxa" w:w="3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TOTAL PHASE 1 MONTHLY COSTS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$23,700-$36,300</w:t>
            </w:r>
          </w:p>
        </w:tc>
        <w:tc>
          <w:tcPr>
            <w:tcW w:type="dxa" w:w="30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
            </w:r>
          </w:p>
        </w:tc>
      </w:tr>
    </w:tbl>
    <w:p>
      <w:pPr>
        <w:spacing w:before="80" w:after="80"/>
      </w:pPr>
      <w:r>
        <w:t xml:space="preserve"/>
      </w:r>
    </w:p>
    <w:p>
      <w:pPr>
        <w:spacing w:before="60" w:after="80"/>
      </w:pPr>
      <w:r>
        <w:rPr>
          <w:rFonts w:ascii="Arial" w:cs="Arial" w:eastAsia="Arial" w:hAnsi="Arial"/>
          <w:color w:val="1A1A1A"/>
          <w:sz w:val="22"/>
          <w:szCs w:val="22"/>
        </w:rPr>
        <w:t xml:space="preserve">Phase 1 cash flow at conservative revenue ($16,400) vs. mid-cost ($30,000) = monthly deficit of $13,600. Phase 1 at growth revenue ($27,200) vs. mid-cost ($30,000) = near break-even monthly. Phase 1 does not generate profit -- it generates market validation data at a capital cost of $300,000-$500,000 vs. $1.4M for the full buildout. The working capital requirement for Phase 1 is approximately $80,000-$120,000 (4-6 months of deficit cover) rather than the $272,000 required by the full Phase 1 indoor model.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The Core Phasing Argument for Investors</w:t>
            </w:r>
          </w:p>
          <w:p>
            <w:pPr>
              <w:spacing w:before="40"/>
            </w:pPr>
            <w:r>
              <w:rPr>
                <w:rFonts w:ascii="Arial" w:cs="Arial" w:eastAsia="Arial" w:hAnsi="Arial"/>
                <w:color w:val="1A1A1A"/>
                <w:sz w:val="21"/>
                <w:szCs w:val="21"/>
              </w:rPr>
              <w:t xml:space="preserve">The phased model asks investors and lenders to commit $300,000-$500,000 in Phase 1, generate 12 months of market validation data, then make the Phase 2 commitment of $600,000-$900,000 backed by actual operating history. Total capital deployed in Phases 1+2 ($900,000-$1,400,000) is comparable to the full downtown buildout, but the timing and risk profile are fundamentally different. The SBA loan application in Phase 2 is supported by 12 months of revenue, vendor performance data, and GRT generation history -- a dramatically stronger application than a startup with no operating history.</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L.4 Additional Risks Specific to the MRA Location and Phased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Risk</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Probability</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Impact</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Mitigation</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Cultural skepticism of 'new' food hall concept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Low-Medium -- mitigated by leading with established NM/Mexican vendors that residents already trust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slower ramp if positioning is wrong</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Lead with Mexican/NM vendor recruitment; partner with operators already known in the corridor; brand as 'upgrade to food trucks you love,' not 'new city concept'; use familiar event formats (car shows, chile festivals, Loteria, live norteño music)</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Corridor safety perception deterring first-time visitors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 -- the MRA exists precisely because the corridor has safety and blight concerns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Medium-High -- affects after-dark attendance critically</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 in visible design quality (lighting, landscaping, sight lines) from Phase 1; coordinate with city on MRA streetscape improvements; operate events with clear perimeter and security presence; build daytime foot traffic first before expanding evening programming</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Vendor turnover in truck pad format</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food trucks have higher mobility than stall operators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Medium -- revenue disruption if pads go empty</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Phased model inherently addresses this: tiered leases (month-to-month pop-up pads + 6-month commitments for anchor trucks); maintain waitlist of 3+ pre-vetted backup operators from Phase 1 outreach</w:t>
            </w:r>
          </w:p>
        </w:tc>
      </w:tr>
      <w:tr>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2 capital not available after Phase 1</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Low-Medium -- depends on Phase 1 performance</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High -- stalls at outdoor format permanently</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Phase 1 operating history makes Phase 2 SBA application significantly stronger; also opens CDFI and equipment financing paths not available pre-revenue; contingency: extend Phase 1 by 6 months to build reserve</w:t>
            </w:r>
          </w:p>
        </w:tc>
      </w:tr>
      <w:tr>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city infrastructure improvements delayed</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High -- city coordinator explicitly stated 'immediate to 20 years'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 -- Hub must be self-sufficient regardless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designed to generate its own foot traffic from Day 1; MRA improvements are modeled as upside, not baseline; Phase 1 outdoor format requires minimal surrounding infrastructure to function</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L.5 Competitive Framing for the W. Picacho Location</w:t>
      </w:r>
    </w:p>
    <w:p>
      <w:pPr>
        <w:spacing w:before="60" w:after="80"/>
      </w:pPr>
      <w:r>
        <w:rPr>
          <w:rFonts w:ascii="Arial" w:cs="Arial" w:eastAsia="Arial" w:hAnsi="Arial"/>
          <w:color w:val="1A1A1A"/>
          <w:sz w:val="22"/>
          <w:szCs w:val="22"/>
        </w:rPr>
        <w:t xml:space="preserve">The competitive landscape at the W. Picacho MRA location is distinct from downtown. The corridor and surrounding neighborhoods contain multiple well-rated Mexican and New Mexican restaurants, but they are entirely single-operator and single-concept -- no multi-vendor, shared-infrastructure food destination exists anywhere in Las Cruces.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Competitive Factor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Existing Landscape</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Hub's Position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Mexican/NM restaurants on the corridor</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Multiple highly-rated operators (confirmed by Yelp and TripAdvisor data for W. Picacho area)</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These prove demand, not competition. A resident who loves local Mexican restaurants has every reason to visit a food hub that curates multiple concepts -- and the Hub drives more people to the corridor, benefiting existing operators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trucks in the city</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Active food truck scene; clusters at Farmers Market and along Solano/Lohman; informal truck 'parks' in parking lots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formalizes and upgrades what already exists. Food truck operators see the Hub as an upgrade path, not a competitor -- permanent utility hookups, restrooms, shared seating, and security are things they cannot provide themselves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 permanent food hall in Las Cruces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Confirmed: zero purpose-built, permanent food hall or structured food truck park in Las Cruces</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First-mover advantage is real. The Hub is not entering a crowded market -- it is creating a new category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Informal parking lot food truck gatherings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Facebook groups confirm Las Cruces residents actively seek out informal multi-truck food gatherings, but they lack amenities (shade, restrooms, reliable vendor roster)</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replaces improvised behavior with a designed, reliable experience. The customer is already trained -- they just need a permanent home</w:t>
            </w:r>
          </w:p>
        </w:tc>
      </w:tr>
    </w:tbl>
    <w:p>
      <w:pPr>
        <w:spacing w:before="80" w:after="80"/>
      </w:pPr>
      <w:r>
        <w:t xml:space="preserve"/>
      </w:r>
    </w:p>
    <w:p>
      <w:pPr>
        <w:pStyle w:val="Heading2"/>
        <w:spacing w:before="320" w:after="100"/>
      </w:pPr>
      <w:r>
        <w:rPr>
          <w:rFonts w:ascii="Arial" w:cs="Arial" w:eastAsia="Arial" w:hAnsi="Arial"/>
          <w:b/>
          <w:bCs/>
          <w:color w:val="2563A8"/>
          <w:sz w:val="28"/>
          <w:szCs w:val="28"/>
        </w:rPr>
        <w:t xml:space="preserve">L.6 How the MRA Location Upgrades Specific Grant Applications</w:t>
      </w:r>
    </w:p>
    <w:p>
      <w:pPr>
        <w:spacing w:before="60" w:after="80"/>
      </w:pPr>
      <w:r>
        <w:rPr>
          <w:rFonts w:ascii="Arial" w:cs="Arial" w:eastAsia="Arial" w:hAnsi="Arial"/>
          <w:color w:val="1A1A1A"/>
          <w:sz w:val="22"/>
          <w:szCs w:val="22"/>
        </w:rPr>
        <w:t xml:space="preserve">The W. Picacho MRA positioning is not just a different site -- it activates different and potentially stronger grant narratives for several of the Hub's target funding sources.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Grant Program</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Downtown Narrative</w:t>
            </w:r>
          </w:p>
        </w:tc>
        <w:tc>
          <w:tcPr>
            <w:tcW w:type="dxa" w:w="2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MRA Narrative</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Which Is Stronger?</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Small Business Loan / Credit Enhancement Program</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New downtown culinary destination; job creation; GRT generation</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Catalytic private investment in a city-designated MRA; anchoring the Shoto hub the city is actively seeking developers for; direct alignment with adopted MRA plan</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 explicit city alignment makes the case much cleaner; city staff can advocate for the application internally</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EPE Economic Development Fund (via MVEDA)</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hall creates 50-70 jobs; downtown revitalization</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investment creates 50-70 jobs in an underinvested corridor; MVEDA lists 'Business in MRA' as qualifying category</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 qualifying category language is a direct advantage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USDA Local Food Purchase Assistance (LFPP)</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Local food entrepreneurs served; diverse food access</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Equity focus: serving a lower-income, majority-Hispanic community with accessible food access; Hatch chile and NM agricultural products featured</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MRA -- stronger equity and food access narrative</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HFFF (Healthy Food Financing Fund)</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diversity in Las Cruces</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access in an underserved corridor; lower-income trade area; healthy food options in a neighborhood lacking them</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MRA -- HFFF was designed for exactly this scenario: food investment in underserved areas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DLCP Renovate Main Street</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Strong -- directly eligible</w:t>
            </w:r>
          </w:p>
        </w:tc>
        <w:tc>
          <w:tcPr>
            <w:tcW w:type="dxa" w:w="2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Not eligible -- DLCP grant is downtown-specific</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 this grant is lost in the MRA scenario; offset by MRA permit fee waivers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Visit Las Cruces co-marketing</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Strong tourism narrative</w:t>
            </w:r>
          </w:p>
        </w:tc>
        <w:tc>
          <w:tcPr>
            <w:tcW w:type="dxa" w:w="2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Still viable; I-10 proximity; authentic NM experience for White Sands/OMDP visitors</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Roughly equal -- different visitor capture argument</w:t>
            </w:r>
          </w:p>
        </w:tc>
      </w:tr>
    </w:tbl>
    <w:p>
      <w:pPr>
        <w:spacing w:before="80" w:after="80"/>
      </w:pPr>
      <w:r>
        <w:t xml:space="preserve"/>
      </w:r>
    </w:p>
    <w:p>
      <w:pPr>
        <w:spacing w:before="60" w:after="80"/>
      </w:pPr>
      <w:r>
        <w:rPr>
          <w:rFonts w:ascii="Arial" w:cs="Arial" w:eastAsia="Arial" w:hAnsi="Arial"/>
          <w:color w:val="1A1A1A"/>
          <w:sz w:val="22"/>
          <w:szCs w:val="22"/>
        </w:rPr>
        <w:t xml:space="preserve">Net grant assessment: the MRA location loses the DLCP Renovate Main Street grant (up to $50,000 matching) but gains stronger positioning for NMFA, EPE, USDA LFPP, and HFFF. If those programs yield $50,000-$100,000 more in combined grants due to stronger MRA eligibility framing, the trade-off favors the MRA location on grant economics alone -- before any rent differential is factored in.</w:t>
      </w:r>
    </w:p>
    <w:p>
      <w:pPr>
        <w:spacing w:before="80" w:after="80"/>
      </w:pPr>
      <w:r>
        <w:t xml:space="preserve"/>
      </w:r>
    </w:p>
    <w:p>
      <w:pPr>
        <w:spacing w:before="60" w:after="80"/>
      </w:pPr>
      <w:r>
        <w:rPr>
          <w:rFonts w:ascii="Arial" w:cs="Arial" w:eastAsia="Arial" w:hAnsi="Arial"/>
          <w:i/>
          <w:iCs/>
          <w:color w:val="555555"/>
          <w:sz w:val="20"/>
          <w:szCs w:val="20"/>
        </w:rPr>
        <w:t xml:space="preserve">Data sources: Neilsberg Las Cruces population estimates (2025); World Population Review Las Cruces demographics; Census Dots Las Cruces race/ethnicity data; Mesilla Valley MPO and MRCOG traffic flow data (W. Picacho Ave daily counts); Classic Hits 101 Gold October 2025 MRA public input reporting (Borderland Car Show &amp; Food Truck Festival reference); Visit Las Cruces (Farmers &amp; Crafts Market and tourism data); New Mexico tourism industry reports; OMDP economic impact data; Roaming Hunger Las Cruces food truck directory; Las Cruces food truck community references; NM MainStreet MRA Implementation Toolkit; MVEDA incentives page.</w:t>
      </w:r>
    </w:p>
    <w:p>
      <w:r>
        <w:br w:type="page"/>
      </w:r>
    </w:p>
    <w:p>
      <w:pPr>
        <w:spacing w:before="0" w:after="120"/>
      </w:pPr>
      <w:r>
        <w:rPr>
          <w:rFonts w:ascii="Arial" w:cs="Arial" w:eastAsia="Arial" w:hAnsi="Arial"/>
          <w:b/>
          <w:bCs/>
          <w:color w:val="1B3A5C"/>
          <w:sz w:val="32"/>
          <w:szCs w:val="32"/>
        </w:rPr>
        <w:t xml:space="preserve">Supplement M: Investor Tear Sheet</w:t>
      </w:r>
    </w:p>
    <w:p>
      <w:pPr>
        <w:pStyle w:val="Heading2"/>
      </w:pPr>
      <w:r>
        <w:t>Supplement M.1 Investor FAQ</w:t>
      </w:r>
    </w:p>
    <w:p>
      <w:r>
        <w:t>What happens if grants are not awarded? The project does not assume grants are guaranteed. If awards are delayed or declined, the Hub shifts to Plan B or Plan C: smaller phased launch, proof events, expanded sponsor outreach, investor LOIs, revised scope, and reapplication with stronger validation.</w:t>
      </w:r>
    </w:p>
    <w:p>
      <w:r>
        <w:t>What happens if SBA financing is declined? The Hub will evaluate CDFI/community lender options, investor-led equity, a smaller first site, food truck park operations, cider/event pad activation, and commissary partnerships before committing to full indoor buildout.</w:t>
      </w:r>
    </w:p>
    <w:p>
      <w:r>
        <w:t>Who owns or controls the real estate? The preferred structure is site control through purchase, ground lease, or long-term lease with protections adequate for buildout investment. Final structure will depend on site selection, grant eligibility, lender requirements, and investor terms.</w:t>
      </w:r>
    </w:p>
    <w:p>
      <w:r>
        <w:t>What security or priority do investors receive? Investor security will be negotiated with counsel and may include preferred return, milestone-based funding release, reporting rights, defined use-of-funds controls, collateral where available, or project-level equity participation.</w:t>
      </w:r>
    </w:p>
    <w:p>
      <w:r>
        <w:t>How does the project proceed with $0 founder cash? The plan proceeds only if grants, investors, sponsorships, lender financing, vendor commitments, pre-sales, or phased-launch savings create a credible capital base. Founder contribution is operational leadership, business planning, grant pursuit, sponsor outreach, vendor development, and project execution, not personal cash.</w:t>
      </w:r>
    </w:p>
    <w:p>
      <w:r>
        <w:t>What milestones must be met before full buildout? Minimum milestones include site control, capital stack commitments, lender or investor approval, core permits pathway, vendor LOIs, sponsor package pipeline, proof-event results, and a working capital plan sufficient for the Year 1 ramp.</w:t>
      </w:r>
    </w:p>
    <w:p>
      <w:pPr>
        <w:pBdr>
          <w:bottom w:val="single" w:color="2563A8" w:sz="6" w:space="8"/>
        </w:pBdr>
        <w:spacing w:before="0" w:after="200"/>
      </w:pPr>
      <w:r>
        <w:rPr>
          <w:rFonts w:ascii="Arial" w:cs="Arial" w:eastAsia="Arial" w:hAnsi="Arial"/>
          <w:i/>
          <w:iCs/>
          <w:color w:val="555555"/>
          <w:sz w:val="22"/>
          <w:szCs w:val="22"/>
        </w:rPr>
        <w:t xml:space="preserve">One-Page Summary for Investor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40"/>
              <w:left w:type="dxa" w:w="240"/>
              <w:bottom w:type="dxa" w:w="140"/>
              <w:right w:type="dxa" w:w="240"/>
            </w:tcMar>
          </w:tcPr>
          <w:p>
            <w:pPr>
              <w:spacing w:before="0" w:after="60"/>
              <w:jc w:val="center"/>
            </w:pPr>
            <w:r>
              <w:rPr>
                <w:rFonts w:ascii="Arial" w:cs="Arial" w:eastAsia="Arial" w:hAnsi="Arial"/>
                <w:b/>
                <w:bCs/>
                <w:color w:val="FFFFFF"/>
                <w:sz w:val="40"/>
                <w:szCs w:val="40"/>
              </w:rPr>
              <w:t xml:space="preserve">LAS CRUCES CULINARY INNOVATION HUB</w:t>
            </w:r>
          </w:p>
          <w:p>
            <w:pPr>
              <w:spacing w:before="0" w:after="0"/>
              <w:jc w:val="center"/>
            </w:pPr>
            <w:r>
              <w:rPr>
                <w:rFonts w:ascii="Arial" w:cs="Arial" w:eastAsia="Arial" w:hAnsi="Arial"/>
                <w:color w:val="B0C8E8"/>
                <w:sz w:val="21"/>
                <w:szCs w:val="21"/>
              </w:rPr>
              <w:t xml:space="preserve">Culinary Incubator  |  Food Hall  |  Craft Cider Destination  |  Workforce Pipeline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THE OPPORTUNITY</w:t>
            </w:r>
          </w:p>
        </w:tc>
      </w:tr>
    </w:tbl>
    <w:p>
      <w:pPr>
        <w:spacing w:before="60" w:after="60"/>
      </w:pPr>
      <w:r>
        <w:t xml:space="preserve"/>
      </w:r>
    </w:p>
    <w:p>
      <w:pPr>
        <w:spacing w:before="40" w:after="50"/>
      </w:pPr>
      <w:r>
        <w:rPr>
          <w:rFonts w:ascii="Arial" w:cs="Arial" w:eastAsia="Arial" w:hAnsi="Arial"/>
          <w:color w:val="1A1A1A"/>
          <w:sz w:val="22"/>
          <w:szCs w:val="22"/>
        </w:rPr>
        <w:t xml:space="preserve">Las Cruces (~115,000 city; Doña Ana County 219,561 per 2020 Census) has zero food halls, zero craft cider bars, and no structured culinary incubator — in a majority-Hispanic market with deep food culture, a 20,000-student NMSU campus, a growing military community, and documented dining dollars leaking to Albuquerque and El Paso. The Hub addresses all three gaps simultaneously from one 8,000 sq ft indoor, climate-controlled location.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KEY FINANCIAL METRICS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Total Capital Required</w:t>
            </w:r>
          </w:p>
          <w:p>
            <w:pPr>
              <w:spacing w:before="0" w:after="0"/>
            </w:pPr>
            <w:r>
              <w:rPr>
                <w:rFonts w:ascii="Arial" w:cs="Arial" w:eastAsia="Arial" w:hAnsi="Arial"/>
                <w:b/>
                <w:bCs/>
                <w:color w:val="1B3A5C"/>
                <w:sz w:val="28"/>
                <w:szCs w:val="28"/>
              </w:rPr>
              <w:t xml:space="preserve">$1.3M – $1.4M</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1 Revenue (Conservative)</w:t>
            </w:r>
          </w:p>
          <w:p>
            <w:pPr>
              <w:spacing w:before="0" w:after="0"/>
            </w:pPr>
            <w:r>
              <w:rPr>
                <w:rFonts w:ascii="Arial" w:cs="Arial" w:eastAsia="Arial" w:hAnsi="Arial"/>
                <w:b/>
                <w:bCs/>
                <w:color w:val="1B3A5C"/>
                <w:sz w:val="28"/>
                <w:szCs w:val="28"/>
              </w:rPr>
              <w:t xml:space="preserve">$1,005,000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1 EBITDA</w:t>
            </w:r>
          </w:p>
          <w:p>
            <w:pPr>
              <w:spacing w:before="0" w:after="0"/>
            </w:pPr>
            <w:r>
              <w:rPr>
                <w:rFonts w:ascii="Arial" w:cs="Arial" w:eastAsia="Arial" w:hAnsi="Arial"/>
                <w:b/>
                <w:bCs/>
                <w:color w:val="1B3A5C"/>
                <w:sz w:val="28"/>
                <w:szCs w:val="28"/>
              </w:rPr>
              <w:t xml:space="preserve">$114,000  (11%)</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Breakeven Month</w:t>
            </w:r>
          </w:p>
          <w:p>
            <w:pPr>
              <w:spacing w:before="0" w:after="0"/>
            </w:pPr>
            <w:r>
              <w:rPr>
                <w:rFonts w:ascii="Arial" w:cs="Arial" w:eastAsia="Arial" w:hAnsi="Arial"/>
                <w:b/>
                <w:bCs/>
                <w:color w:val="1B3A5C"/>
                <w:sz w:val="28"/>
                <w:szCs w:val="28"/>
              </w:rPr>
              <w:t xml:space="preserve">18 – 20</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2 EBITDA</w:t>
            </w:r>
          </w:p>
          <w:p>
            <w:pPr>
              <w:spacing w:before="0" w:after="0"/>
            </w:pPr>
            <w:r>
              <w:rPr>
                <w:rFonts w:ascii="Arial" w:cs="Arial" w:eastAsia="Arial" w:hAnsi="Arial"/>
                <w:b/>
                <w:bCs/>
                <w:color w:val="1B3A5C"/>
                <w:sz w:val="28"/>
                <w:szCs w:val="28"/>
              </w:rPr>
              <w:t xml:space="preserve">$384,000  (27%)</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Year 3 EBITDA</w:t>
            </w:r>
          </w:p>
          <w:p>
            <w:pPr>
              <w:spacing w:before="0" w:after="0"/>
            </w:pPr>
            <w:r>
              <w:rPr>
                <w:rFonts w:ascii="Arial" w:cs="Arial" w:eastAsia="Arial" w:hAnsi="Arial"/>
                <w:b/>
                <w:bCs/>
                <w:color w:val="1B3A5C"/>
                <w:sz w:val="28"/>
                <w:szCs w:val="28"/>
              </w:rPr>
              <w:t xml:space="preserve">$570,000  (34%)</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3-Year Cumulative Profit</w:t>
            </w:r>
          </w:p>
          <w:p>
            <w:pPr>
              <w:spacing w:before="0" w:after="0"/>
            </w:pPr>
            <w:r>
              <w:rPr>
                <w:rFonts w:ascii="Arial" w:cs="Arial" w:eastAsia="Arial" w:hAnsi="Arial"/>
                <w:b/>
                <w:bCs/>
                <w:color w:val="1B3A5C"/>
                <w:sz w:val="28"/>
                <w:szCs w:val="28"/>
              </w:rPr>
              <w:t xml:space="preserve">$1.1M+</w:t>
            </w:r>
          </w:p>
        </w:tc>
        <w:tc>
          <w:tcPr>
            <w:tcBorders>
              <w:top w:val="single" w:color="14746F" w:sz="6"/>
              <w:left w:val="thick" w:color="14746F" w:sz="12"/>
              <w:bottom w:val="single" w:color="14746F" w:sz="6"/>
              <w:right w:val="none" w:color="FFFFFF" w:sz="0"/>
            </w:tcBorders>
            <w:shd w:fill="E8F4F2" w:val="clear"/>
            <w:tcMar>
              <w:top w:type="dxa" w:w="100"/>
              <w:left w:type="dxa" w:w="160"/>
              <w:bottom w:type="dxa" w:w="100"/>
              <w:right w:type="dxa" w:w="120"/>
            </w:tcMar>
          </w:tcPr>
          <w:p>
            <w:pPr>
              <w:spacing w:before="0" w:after="20"/>
            </w:pPr>
            <w:r>
              <w:rPr>
                <w:rFonts w:ascii="Arial" w:cs="Arial" w:eastAsia="Arial" w:hAnsi="Arial"/>
                <w:b/>
                <w:bCs/>
                <w:color w:val="14746F"/>
                <w:sz w:val="18"/>
                <w:szCs w:val="18"/>
              </w:rPr>
              <w:t xml:space="preserve">Illustrative Investor Return</w:t>
            </w:r>
          </w:p>
          <w:p>
            <w:pPr>
              <w:spacing w:before="0" w:after="0"/>
            </w:pPr>
            <w:r>
              <w:rPr>
                <w:rFonts w:ascii="Arial" w:cs="Arial" w:eastAsia="Arial" w:hAnsi="Arial"/>
                <w:b/>
                <w:bCs/>
                <w:color w:val="1B3A5C"/>
                <w:sz w:val="28"/>
                <w:szCs w:val="28"/>
              </w:rPr>
              <w:t xml:space="preserve">85% cumulative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CAPITAL STACK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Source</w:t>
            </w:r>
          </w:p>
        </w:tc>
        <w:tc>
          <w:tcPr>
            <w:tcW w:type="dxa" w:w="3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Amount</w:t>
            </w:r>
          </w:p>
        </w:tc>
        <w:tc>
          <w:tcPr>
            <w:tcW w:type="dxa" w:w="33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r>
      <w:tr>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Owner / Founder Equity</w:t>
            </w:r>
          </w:p>
        </w:tc>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 be determined</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Applying for pre-opening grants to fund equity component; owner cash = $0</w:t>
            </w:r>
          </w:p>
        </w:tc>
      </w:tr>
      <w:tr>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SBA 7(a) Loan</w:t>
            </w:r>
          </w:p>
        </w:tc>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$850,000</w:t>
            </w:r>
          </w:p>
        </w:tc>
        <w:tc>
          <w:tcPr>
            <w:tcW w:type="dxa" w:w="33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Pre-qualification in progress</w:t>
            </w:r>
          </w:p>
        </w:tc>
      </w:tr>
      <w:tr>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NMFA + HFFF + EPE / MVEDA Grants</w:t>
            </w:r>
          </w:p>
        </w:tc>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$205,000 – $410,000</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Applications Q1–Q2 2026</w:t>
            </w:r>
          </w:p>
        </w:tc>
      </w:tr>
      <w:tr>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DLCP Renovate Main Street + Other Grants</w:t>
            </w:r>
          </w:p>
        </w:tc>
        <w:tc>
          <w:tcPr>
            <w:tcW w:type="dxa" w:w="3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$30,000 – $75,000</w:t>
            </w:r>
          </w:p>
        </w:tc>
        <w:tc>
          <w:tcPr>
            <w:tcW w:type="dxa" w:w="33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Applications Q2 2026</w:t>
            </w:r>
          </w:p>
        </w:tc>
      </w:tr>
      <w:tr>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AVAILABLE</w:t>
            </w:r>
          </w:p>
        </w:tc>
        <w:tc>
          <w:tcPr>
            <w:tcW w:type="dxa" w:w="3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$1,370,000 – $1,535,000</w:t>
            </w:r>
          </w:p>
        </w:tc>
        <w:tc>
          <w:tcPr>
            <w:tcW w:type="dxa" w:w="33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Exceeds project need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INVESTOR TERMS (SUMMARY)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Term</w:t>
            </w:r>
          </w:p>
        </w:tc>
        <w:tc>
          <w:tcPr>
            <w:tcW w:type="dxa" w:w="69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Structure</w:t>
            </w:r>
          </w:p>
        </w:tc>
      </w:tr>
      <w:tr>
        <w:tc>
          <w:tcPr>
            <w:tcW w:type="dxa" w:w="2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Entity</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New Mexico Multi-Member LLC; two-class structure (Class A: operator / Class B: investors)</w:t>
            </w:r>
          </w:p>
        </w:tc>
      </w:tr>
      <w:tr>
        <w:tc>
          <w:tcPr>
            <w:tcW w:type="dxa" w:w="2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Preferred Return</w:t>
            </w:r>
          </w:p>
        </w:tc>
        <w:tc>
          <w:tcPr>
            <w:tcW w:type="dxa" w:w="69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8% annual on invested capital; cumulative; paid before profit-sharing distributions</w:t>
            </w:r>
          </w:p>
        </w:tc>
      </w:tr>
      <w:tr>
        <w:tc>
          <w:tcPr>
            <w:tcW w:type="dxa" w:w="2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Profit Split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51–60% Class A (operator) / 40–49% Class B (investors); exact % per Operating Agreement</w:t>
            </w:r>
          </w:p>
        </w:tc>
      </w:tr>
      <w:tr>
        <w:tc>
          <w:tcPr>
            <w:tcW w:type="dxa" w:w="2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SBA Priority</w:t>
            </w:r>
          </w:p>
        </w:tc>
        <w:tc>
          <w:tcPr>
            <w:tcW w:type="dxa" w:w="69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All SBA 7(a) debt service paid before any member distributions; DSCR covenant maintained</w:t>
            </w:r>
          </w:p>
        </w:tc>
      </w:tr>
      <w:tr>
        <w:tc>
          <w:tcPr>
            <w:tcW w:type="dxa" w:w="2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Investor Exit</w:t>
            </w:r>
          </w:p>
        </w:tc>
        <w:tc>
          <w:tcPr>
            <w:tcW w:type="dxa" w:w="69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Year 5 operator buyout at 3.0x trailing EBITDA; minimum 1.5x invested capital floor; installment option</w:t>
            </w:r>
          </w:p>
        </w:tc>
      </w:tr>
      <w:tr>
        <w:tc>
          <w:tcPr>
            <w:tcW w:type="dxa" w:w="2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Illustrative IRR</w:t>
            </w:r>
          </w:p>
        </w:tc>
        <w:tc>
          <w:tcPr>
            <w:tcW w:type="dxa" w:w="69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17–20% at base case projections on a $100,000 investment over 5 years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NINE REVENUE STREAMS — DIVERSIFIED BASE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760"/>
        <w:gridCol w:w="3200"/>
      </w:tblGrid>
      <w:tr>
        <w:tc>
          <w:tcPr>
            <w:tcW w:type="dxa" w:w="3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Revenue Stream</w:t>
            </w:r>
          </w:p>
        </w:tc>
        <w:tc>
          <w:tcPr>
            <w:tcW w:type="dxa" w:w="27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1 Conservative</w:t>
            </w:r>
          </w:p>
        </w:tc>
        <w:tc>
          <w:tcPr>
            <w:tcW w:type="dxa" w:w="3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Notes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Permanent Stall Rent + % Sales (7–8 stalls)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$310,000 – $407,000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$2,800–$3,200/mo base + 6% of sales</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Incubator Stall Rent + % Sales (2–3 stalls)</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$66,000 – $120,000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$2,000–$2,500/mo + 8%; staggered cohorts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Ghost Kitchen Bays (2 bays)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$36,000 – $48,000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$1,500–$2,000/mo + 8% delivery commissions</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Specialty Craft Cider Bar + Cider Club</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$157,000 – $223,000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20–25 taps; 8–10 NM cideries; Club membership</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Commissary Kitchen Rentals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$35,000 – $50,000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$25–$35/hr; food trucks, caterers, producers</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Event Programming</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$35,000 – $65,000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Cultural festivals, night markets, pairing dinners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Vendor Shared Services Fees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$60,000 – $72,000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 stalls x $600–$750/mo; utility cost recovery</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Marketing and Ancillary</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$25,000 – $45,000</w:t>
            </w:r>
          </w:p>
        </w:tc>
        <w:tc>
          <w:tcPr>
            <w:tcW w:type="dxa" w:w="32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Promotions, merchandise, gift cards</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~$1,005,000</w:t>
            </w:r>
          </w:p>
        </w:tc>
        <w:tc>
          <w:tcPr>
            <w:tcW w:type="dxa" w:w="32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9-stream diversification prevents single-point failure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WHY THIS PROJECT, WHY NOW, WHY THIS FOUNDER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Borders>
              <w:top w:val="single" w:color="14746F" w:sz="4"/>
              <w:left w:val="thick" w:color="14746F" w:sz="10"/>
              <w:bottom w:val="single" w:color="14746F" w:sz="4"/>
              <w:right w:val="none" w:color="FFFFFF" w:sz="0"/>
            </w:tcBorders>
            <w:shd w:fill="E8F4F2" w:val="clear"/>
            <w:tcMar>
              <w:top w:type="dxa" w:w="100"/>
              <w:left w:type="dxa" w:w="160"/>
              <w:bottom w:type="dxa" w:w="100"/>
              <w:right w:type="dxa" w:w="100"/>
            </w:tcMar>
          </w:tcPr>
          <w:p>
            <w:pPr>
              <w:spacing w:before="0" w:after="80"/>
            </w:pPr>
            <w:r>
              <w:rPr>
                <w:rFonts w:ascii="Arial" w:cs="Arial" w:eastAsia="Arial" w:hAnsi="Arial"/>
                <w:b/>
                <w:bCs/>
                <w:color w:val="14746F"/>
                <w:sz w:val="20"/>
                <w:szCs w:val="20"/>
              </w:rPr>
              <w:t xml:space="preserve">Market Gaps Confirmed</w:t>
            </w:r>
          </w:p>
          <w:p>
            <w:pPr>
              <w:pStyle w:val="ListParagraph"/>
              <w:numPr>
                <w:ilvl w:val="0"/>
                <w:numId w:val="2"/>
              </w:numPr>
              <w:spacing w:before="20" w:after="20"/>
            </w:pPr>
            <w:r>
              <w:rPr>
                <w:rFonts w:ascii="Arial" w:cs="Arial" w:eastAsia="Arial" w:hAnsi="Arial"/>
                <w:color w:val="1A1A1A"/>
                <w:sz w:val="19"/>
                <w:szCs w:val="19"/>
              </w:rPr>
              <w:t xml:space="preserve">Zero food halls in Las Cruces or southern NM</w:t>
            </w:r>
          </w:p>
          <w:p>
            <w:pPr>
              <w:pStyle w:val="ListParagraph"/>
              <w:numPr>
                <w:ilvl w:val="0"/>
                <w:numId w:val="2"/>
              </w:numPr>
              <w:spacing w:before="20" w:after="20"/>
            </w:pPr>
            <w:r>
              <w:rPr>
                <w:rFonts w:ascii="Arial" w:cs="Arial" w:eastAsia="Arial" w:hAnsi="Arial"/>
                <w:color w:val="1A1A1A"/>
                <w:sz w:val="19"/>
                <w:szCs w:val="19"/>
              </w:rPr>
              <w:t xml:space="preserve">Zero craft cider bars in the region</w:t>
            </w:r>
          </w:p>
          <w:p>
            <w:pPr>
              <w:pStyle w:val="ListParagraph"/>
              <w:numPr>
                <w:ilvl w:val="0"/>
                <w:numId w:val="2"/>
              </w:numPr>
              <w:spacing w:before="20" w:after="20"/>
            </w:pPr>
            <w:r>
              <w:rPr>
                <w:rFonts w:ascii="Arial" w:cs="Arial" w:eastAsia="Arial" w:hAnsi="Arial"/>
                <w:color w:val="1A1A1A"/>
                <w:sz w:val="19"/>
                <w:szCs w:val="19"/>
              </w:rPr>
              <w:t xml:space="preserve">No structured culinary incubator in SW NM</w:t>
            </w:r>
          </w:p>
          <w:p>
            <w:pPr>
              <w:pStyle w:val="ListParagraph"/>
              <w:numPr>
                <w:ilvl w:val="0"/>
                <w:numId w:val="2"/>
              </w:numPr>
              <w:spacing w:before="20" w:after="20"/>
            </w:pPr>
            <w:r>
              <w:rPr>
                <w:rFonts w:ascii="Arial" w:cs="Arial" w:eastAsia="Arial" w:hAnsi="Arial"/>
                <w:color w:val="1A1A1A"/>
                <w:sz w:val="19"/>
                <w:szCs w:val="19"/>
              </w:rPr>
              <w:t xml:space="preserve">Sawmill Market (ABQ) validated NM food hall demand — Heritage Cos. now expanding to Santa Fe</w:t>
            </w:r>
          </w:p>
          <w:p>
            <w:pPr>
              <w:pStyle w:val="ListParagraph"/>
              <w:numPr>
                <w:ilvl w:val="0"/>
                <w:numId w:val="2"/>
              </w:numPr>
              <w:spacing w:before="20" w:after="20"/>
            </w:pPr>
            <w:r>
              <w:rPr>
                <w:rFonts w:ascii="Arial" w:cs="Arial" w:eastAsia="Arial" w:hAnsi="Arial"/>
                <w:color w:val="1A1A1A"/>
                <w:sz w:val="19"/>
                <w:szCs w:val="19"/>
              </w:rPr>
              <w:t xml:space="preserve">City of Las Cruces, DLCP, MVEDA, and Visit Las Cruces all have active funded programs aligned with this project</w:t>
            </w:r>
          </w:p>
        </w:tc>
        <w:tc>
          <w:tcPr>
            <w:tcBorders>
              <w:top w:val="single" w:color="1B3A5C" w:sz="4"/>
              <w:left w:val="thick" w:color="1B3A5C" w:sz="10"/>
              <w:bottom w:val="single" w:color="1B3A5C" w:sz="4"/>
              <w:right w:val="none" w:color="FFFFFF" w:sz="0"/>
            </w:tcBorders>
            <w:shd w:fill="EEF4FB" w:val="clear"/>
            <w:tcMar>
              <w:top w:type="dxa" w:w="100"/>
              <w:left w:type="dxa" w:w="160"/>
              <w:bottom w:type="dxa" w:w="100"/>
              <w:right w:type="dxa" w:w="100"/>
            </w:tcMar>
          </w:tcPr>
          <w:p>
            <w:pPr>
              <w:spacing w:before="0" w:after="80"/>
            </w:pPr>
            <w:r>
              <w:rPr>
                <w:rFonts w:ascii="Arial" w:cs="Arial" w:eastAsia="Arial" w:hAnsi="Arial"/>
                <w:b/>
                <w:bCs/>
                <w:color w:val="1B3A5C"/>
                <w:sz w:val="20"/>
                <w:szCs w:val="20"/>
              </w:rPr>
              <w:t xml:space="preserve">Founder Credentials</w:t>
            </w:r>
          </w:p>
          <w:p>
            <w:pPr>
              <w:pStyle w:val="ListParagraph"/>
              <w:numPr>
                <w:ilvl w:val="0"/>
                <w:numId w:val="2"/>
              </w:numPr>
              <w:spacing w:before="20" w:after="20"/>
            </w:pPr>
            <w:r>
              <w:rPr>
                <w:rFonts w:ascii="Arial" w:cs="Arial" w:eastAsia="Arial" w:hAnsi="Arial"/>
                <w:color w:val="1A1A1A"/>
                <w:sz w:val="19"/>
                <w:szCs w:val="19"/>
              </w:rPr>
              <w:t xml:space="preserve">BS General Engineering</w:t>
            </w:r>
          </w:p>
          <w:p>
            <w:pPr>
              <w:pStyle w:val="ListParagraph"/>
              <w:numPr>
                <w:ilvl w:val="0"/>
                <w:numId w:val="2"/>
              </w:numPr>
              <w:spacing w:before="20" w:after="20"/>
            </w:pPr>
            <w:r>
              <w:rPr>
                <w:rFonts w:ascii="Arial" w:cs="Arial" w:eastAsia="Arial" w:hAnsi="Arial"/>
                <w:color w:val="1A1A1A"/>
                <w:sz w:val="19"/>
                <w:szCs w:val="19"/>
              </w:rPr>
              <w:t xml:space="preserve">MS Industrial Engineering, Engineering Management concentration</w:t>
            </w:r>
          </w:p>
          <w:p>
            <w:pPr>
              <w:pStyle w:val="ListParagraph"/>
              <w:numPr>
                <w:ilvl w:val="0"/>
                <w:numId w:val="2"/>
              </w:numPr>
              <w:spacing w:before="20" w:after="20"/>
            </w:pPr>
            <w:r>
              <w:rPr>
                <w:rFonts w:ascii="Arial" w:cs="Arial" w:eastAsia="Arial" w:hAnsi="Arial"/>
                <w:color w:val="1A1A1A"/>
                <w:sz w:val="19"/>
                <w:szCs w:val="19"/>
              </w:rPr>
              <w:t xml:space="preserve">Proven multi-year business operator (P&amp;L, staff, compliance, suppliers)</w:t>
            </w:r>
          </w:p>
          <w:p>
            <w:pPr>
              <w:pStyle w:val="ListParagraph"/>
              <w:numPr>
                <w:ilvl w:val="0"/>
                <w:numId w:val="2"/>
              </w:numPr>
              <w:spacing w:before="20" w:after="20"/>
            </w:pPr>
            <w:r>
              <w:rPr>
                <w:rFonts w:ascii="Arial" w:cs="Arial" w:eastAsia="Arial" w:hAnsi="Arial"/>
                <w:color w:val="1A1A1A"/>
                <w:sz w:val="19"/>
                <w:szCs w:val="19"/>
              </w:rPr>
              <w:t xml:space="preserve">Deep Las Cruces community and culinary knowledge</w:t>
            </w:r>
          </w:p>
          <w:p>
            <w:pPr>
              <w:pStyle w:val="ListParagraph"/>
              <w:numPr>
                <w:ilvl w:val="0"/>
                <w:numId w:val="2"/>
              </w:numPr>
              <w:spacing w:before="20" w:after="20"/>
            </w:pPr>
            <w:r>
              <w:rPr>
                <w:rFonts w:ascii="Arial" w:cs="Arial" w:eastAsia="Arial" w:hAnsi="Arial"/>
                <w:color w:val="1A1A1A"/>
                <w:sz w:val="19"/>
                <w:szCs w:val="19"/>
              </w:rPr>
              <w:t xml:space="preserve">Engineering background = natural fit for complex multi-unit operations system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NON-DILUTIVE GRANT ELIGIBILITY — SIX SIMULTANEOUS CATEGORIES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2160"/>
      </w:tblGrid>
      <w:tr>
        <w:tc>
          <w:tcPr>
            <w:tcW w:type="dxa" w:w="3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Grant Category</w:t>
            </w:r>
          </w:p>
        </w:tc>
        <w:tc>
          <w:tcPr>
            <w:tcW w:type="dxa" w:w="38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Primary Sources</w:t>
            </w:r>
          </w:p>
        </w:tc>
        <w:tc>
          <w:tcPr>
            <w:tcW w:type="dxa" w:w="21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Est. Amount</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Small Business Incubator Infrastructure</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NMFA, HFFF, DLCP Renovate Main Street</w:t>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$125,000 – $275,000</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Workforce Development and Career Training</w:t>
            </w:r>
          </w:p>
        </w:tc>
        <w:tc>
          <w:tcPr>
            <w:tcW w:type="dxa" w:w="38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NM Dept. of Workforce Solutions, DACC, WESST</w:t>
            </w:r>
          </w:p>
        </w:tc>
        <w:tc>
          <w:tcPr>
            <w:tcW w:type="dxa" w:w="21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$25,000 – $50,000</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Downtown Revitalization and Placemaking</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EPE / MVEDA, DLCP TIDD, NM MainStreet</w:t>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$65,000 – $80,000</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Tourism Destination Development</w:t>
            </w:r>
          </w:p>
        </w:tc>
        <w:tc>
          <w:tcPr>
            <w:tcW w:type="dxa" w:w="38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NM Tourism Dept., Visit Las Cruces, Dona Ana CVB</w:t>
            </w:r>
          </w:p>
        </w:tc>
        <w:tc>
          <w:tcPr>
            <w:tcW w:type="dxa" w:w="21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$15,000 – $30,000</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Minority and First-Time Entrepreneur Support</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NMSU MBDC, SBA Women-Owned Business, MVEDA</w:t>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$10,000 – $25,000</w:t>
            </w:r>
          </w:p>
        </w:tc>
      </w:tr>
      <w:tr>
        <w:tc>
          <w:tcPr>
            <w:tcW w:type="dxa" w:w="34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Local Agriculture Market Expansion</w:t>
            </w:r>
          </w:p>
        </w:tc>
        <w:tc>
          <w:tcPr>
            <w:tcW w:type="dxa" w:w="38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USDA LFPP, USDA RBDG, NM Dept. of Agriculture</w:t>
            </w:r>
          </w:p>
        </w:tc>
        <w:tc>
          <w:tcPr>
            <w:tcW w:type="dxa" w:w="21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$50,000 – $75,000</w:t>
            </w:r>
          </w:p>
        </w:tc>
      </w:tr>
      <w:tr>
        <w:tc>
          <w:tcPr>
            <w:tcW w:type="dxa" w:w="34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TOTAL NON-DILUTIVE GRANT TARGET</w:t>
            </w:r>
          </w:p>
        </w:tc>
        <w:tc>
          <w:tcPr>
            <w:tcW w:type="dxa" w:w="38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
            </w:r>
          </w:p>
        </w:tc>
        <w:tc>
          <w:tcPr>
            <w:tcW w:type="dxa" w:w="21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$405,000 – $595,000+</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single" w:color="2563A8" w:sz="4"/>
              <w:right w:val="none" w:color="FFFFFF" w:sz="0"/>
            </w:tcBorders>
            <w:shd w:fill="1B3A5C" w:val="clear"/>
            <w:tcMar>
              <w:top w:type="dxa" w:w="80"/>
              <w:left w:type="dxa" w:w="160"/>
              <w:bottom w:type="dxa" w:w="80"/>
              <w:right w:type="dxa" w:w="120"/>
            </w:tcMar>
          </w:tcPr>
          <w:p>
            <w:r>
              <w:rPr>
                <w:rFonts w:ascii="Arial" w:cs="Arial" w:eastAsia="Arial" w:hAnsi="Arial"/>
                <w:b/>
                <w:bCs/>
                <w:color w:val="FFFFFF"/>
                <w:sz w:val="22"/>
                <w:szCs w:val="22"/>
              </w:rPr>
              <w:t xml:space="preserve">ECONOMIC AND COMMUNITY IMPACT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4000"/>
      </w:tblGrid>
      <w:tr>
        <w:tc>
          <w:tcPr>
            <w:tcW w:type="dxa" w:w="2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Metric</w:t>
            </w:r>
          </w:p>
        </w:tc>
        <w:tc>
          <w:tcPr>
            <w:tcW w:type="dxa" w:w="27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Year 1</w:t>
            </w:r>
          </w:p>
        </w:tc>
        <w:tc>
          <w:tcPr>
            <w:tcW w:type="dxa" w:w="4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r>
              <w:rPr>
                <w:rFonts w:ascii="Arial" w:cs="Arial" w:eastAsia="Arial" w:hAnsi="Arial"/>
                <w:b/>
                <w:bCs/>
                <w:color w:val="FFFFFF"/>
                <w:sz w:val="19"/>
                <w:szCs w:val="19"/>
              </w:rPr>
              <w:t xml:space="preserve">5-Year Projection</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Direct Jobs Created (hub + vendors)</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60+</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120+</w:t>
            </w:r>
          </w:p>
        </w:tc>
      </w:tr>
      <w:tr>
        <w:tc>
          <w:tcPr>
            <w:tcW w:type="dxa" w:w="26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Indirect Jobs (suppliers, farms, services)</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25–35</w:t>
            </w:r>
          </w:p>
        </w:tc>
        <w:tc>
          <w:tcPr>
            <w:tcW w:type="dxa" w:w="4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50–70</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Food Entrepreneur Businesses Launched</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30+</w:t>
            </w:r>
          </w:p>
        </w:tc>
      </w:tr>
      <w:tr>
        <w:tc>
          <w:tcPr>
            <w:tcW w:type="dxa" w:w="26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Independent Restaurants Graduated</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0–2</w:t>
            </w:r>
          </w:p>
        </w:tc>
        <w:tc>
          <w:tcPr>
            <w:tcW w:type="dxa" w:w="4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15+</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Paid Apprenticeships Created</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10–15/year</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50–75 total</w:t>
            </w:r>
          </w:p>
        </w:tc>
      </w:tr>
      <w:tr>
        <w:tc>
          <w:tcPr>
            <w:tcW w:type="dxa" w:w="26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Local Agriculture Purchases</w:t>
            </w:r>
          </w:p>
        </w:tc>
        <w:tc>
          <w:tcPr>
            <w:tcW w:type="dxa" w:w="276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$200K – $300K/year</w:t>
            </w:r>
          </w:p>
        </w:tc>
        <w:tc>
          <w:tcPr>
            <w:tcW w:type="dxa" w:w="4000"/>
            <w:tcBorders>
              <w:top w:val="single" w:color="B0C8E8" w:sz="1"/>
              <w:left w:val="single" w:color="B0C8E8" w:sz="1"/>
              <w:bottom w:val="single" w:color="B0C8E8" w:sz="1"/>
              <w:right w:val="single" w:color="B0C8E8" w:sz="1"/>
            </w:tcBorders>
            <w:shd w:fill="EEF4FB" w:val="clear"/>
            <w:tcMar>
              <w:top w:type="dxa" w:w="70"/>
              <w:left w:type="dxa" w:w="120"/>
              <w:bottom w:type="dxa" w:w="70"/>
              <w:right w:type="dxa" w:w="120"/>
            </w:tcMar>
          </w:tcPr>
          <w:p>
            <w:r>
              <w:rPr>
                <w:rFonts w:ascii="Arial" w:cs="Arial" w:eastAsia="Arial" w:hAnsi="Arial"/>
                <w:color w:val="1A1A1A"/>
                <w:sz w:val="19"/>
                <w:szCs w:val="19"/>
              </w:rPr>
              <w:t xml:space="preserve">$1M – $1.5M cumulative</w:t>
            </w:r>
          </w:p>
        </w:tc>
      </w:tr>
      <w:tr>
        <w:tc>
          <w:tcPr>
            <w:tcW w:type="dxa" w:w="26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Cultural Events Hosted</w:t>
            </w:r>
          </w:p>
        </w:tc>
        <w:tc>
          <w:tcPr>
            <w:tcW w:type="dxa" w:w="276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12+ annually</w:t>
            </w:r>
          </w:p>
        </w:tc>
        <w:tc>
          <w:tcPr>
            <w:tcW w:type="dxa" w:w="4000"/>
            <w:tcBorders>
              <w:top w:val="single" w:color="B0C8E8" w:sz="1"/>
              <w:left w:val="single" w:color="B0C8E8" w:sz="1"/>
              <w:bottom w:val="single" w:color="B0C8E8" w:sz="1"/>
              <w:right w:val="single" w:color="B0C8E8"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60+ over 5 years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4746F" w:sz="12"/>
              <w:left w:val="none" w:color="FFFFFF" w:sz="0"/>
              <w:bottom w:val="thick" w:color="14746F" w:sz="12"/>
              <w:right w:val="none" w:color="FFFFFF" w:sz="0"/>
            </w:tcBorders>
            <w:shd w:fill="E8F4F2" w:val="clear"/>
            <w:tcMar>
              <w:top w:type="dxa" w:w="120"/>
              <w:left w:type="dxa" w:w="240"/>
              <w:bottom w:type="dxa" w:w="120"/>
              <w:right w:type="dxa" w:w="240"/>
            </w:tcMar>
          </w:tcPr>
          <w:p>
            <w:pPr>
              <w:spacing w:before="0" w:after="60"/>
              <w:jc w:val="center"/>
            </w:pPr>
            <w:r>
              <w:rPr>
                <w:rFonts w:ascii="Arial" w:cs="Arial" w:eastAsia="Arial" w:hAnsi="Arial"/>
                <w:b/>
                <w:bCs/>
                <w:color w:val="14746F"/>
                <w:sz w:val="24"/>
                <w:szCs w:val="24"/>
              </w:rPr>
              <w:t xml:space="preserve">NEXT STEPS</w:t>
            </w:r>
          </w:p>
          <w:p>
            <w:pPr>
              <w:spacing w:before="0" w:after="40"/>
              <w:jc w:val="center"/>
            </w:pPr>
            <w:r>
              <w:rPr>
                <w:rFonts w:ascii="Arial" w:cs="Arial" w:eastAsia="Arial" w:hAnsi="Arial"/>
                <w:b/>
                <w:bCs/>
                <w:color w:val="1B3A5C"/>
                <w:sz w:val="22"/>
                <w:szCs w:val="22"/>
              </w:rPr>
              <w:t xml:space="preserve">[Founder Name]  |  Las Cruces Culinary Innovation Hub</w:t>
            </w:r>
          </w:p>
          <w:p>
            <w:pPr>
              <w:spacing w:before="0" w:after="40"/>
              <w:jc w:val="center"/>
            </w:pPr>
            <w:r>
              <w:rPr>
                <w:rFonts w:ascii="Arial" w:cs="Arial" w:eastAsia="Arial" w:hAnsi="Arial"/>
                <w:color w:val="555555"/>
                <w:sz w:val="20"/>
                <w:szCs w:val="20"/>
              </w:rPr>
              <w:t xml:space="preserve">[Phone]  |  [Email]  |  Las Cruces, New Mexico</w:t>
            </w:r>
          </w:p>
          <w:p>
            <w:pPr>
              <w:spacing w:before="40" w:after="0"/>
              <w:jc w:val="center"/>
            </w:pPr>
            <w:r>
              <w:rPr>
                <w:rFonts w:ascii="Arial" w:cs="Arial" w:eastAsia="Arial" w:hAnsi="Arial"/>
                <w:i/>
                <w:iCs/>
                <w:color w:val="777777"/>
                <w:sz w:val="17"/>
                <w:szCs w:val="17"/>
              </w:rPr>
              <w:t xml:space="preserve">This tear sheet is a summary only. The complete 16-section business plan with 12 supplements is available upon request. All financial projections are forward-looking estimates based on conservative assumptions; actual results may vary.</w:t>
            </w:r>
          </w:p>
        </w:tc>
      </w:tr>
    </w:tbl>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Supplement N: Policy Alignment Analysis — Elevate Las Cruces (2020) and East Lohman Development Plan (2021)</w:t>
      </w:r>
    </w:p>
    <w:p>
      <w:pPr>
        <w:spacing w:after="80" w:before="60"/>
      </w:pPr>
      <w:r>
        <w:rPr>
          <w:rFonts w:ascii="Arial" w:cs="Arial" w:eastAsia="Arial" w:hAnsi="Arial"/>
          <w:color w:val="1A1A1A"/>
          <w:sz w:val="22"/>
          <w:szCs w:val="22"/>
        </w:rPr>
        <w:t xml:space="preserve">This supplement documents the Las Cruces Culinary Innovation Hub's alignment with two adopted city planning documents: Elevate Las Cruces (City Comprehensive Plan through 2045, adopted February 18, 2020) and the East Lohman Development Plan (subarea implementation plan, adopted September 20, 2021). Together, these documents create an explicit policy basis for the Hub that strengthens every grant application, every city partnership request, and every investor narrative. The Hub is not asking the City of Las Cruces to invent a new policy pathway. It is asking the city to fund and support a project that directly implements plans already adopted by City Council.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The Strategic Framing for Every City Meeting</w:t>
            </w:r>
          </w:p>
          <w:p>
            <w:pPr>
              <w:spacing w:after="0" w:before="0"/>
            </w:pPr>
            <w:r>
              <w:rPr>
                <w:rFonts w:ascii="Arial" w:cs="Arial" w:eastAsia="Arial" w:hAnsi="Arial"/>
                <w:color w:val="1A1A1A"/>
                <w:sz w:val="21"/>
                <w:szCs w:val="21"/>
              </w:rPr>
              <w:t xml:space="preserve">Present the Hub not as a business seeking city support, but as a private implementation partner for adopted city policy. Elevate Las Cruces and the East Lohman Development Plan have already established the policy justification. The Hub delivers on it.</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N.1 Elevate Las Cruces — The Comprehensive Plan Foundation</w:t>
      </w:r>
    </w:p>
    <w:p>
      <w:pPr>
        <w:spacing w:after="80" w:before="60"/>
      </w:pPr>
      <w:r>
        <w:rPr>
          <w:rFonts w:ascii="Arial" w:cs="Arial" w:eastAsia="Arial" w:hAnsi="Arial"/>
          <w:color w:val="1A1A1A"/>
          <w:sz w:val="22"/>
          <w:szCs w:val="22"/>
        </w:rPr>
        <w:t xml:space="preserve">Elevate Las Cruces is the City's adopted comprehensive plan through 2045, organized around Community Prosperity, Community Livability, and Community Environment. It was produced through an 18-month public participation process including community-builder meetings, subcommittees, open houses, and three online surveys. Its findings represent the documented preferences of Las Cruces residents — and they align directly with what the Hub delivers.</w:t>
      </w:r>
    </w:p>
    <w:p>
      <w:pPr>
        <w:spacing w:after="80" w:before="80"/>
      </w:pPr>
      <w:r>
        <w:t xml:space="preserve"/>
      </w:r>
    </w:p>
    <w:p>
      <w:pPr>
        <w:spacing w:after="80" w:before="220"/>
      </w:pPr>
      <w:r>
        <w:rPr>
          <w:rFonts w:ascii="Arial" w:cs="Arial" w:eastAsia="Arial" w:hAnsi="Arial"/>
          <w:b/>
          <w:bCs/>
          <w:color w:val="14746F"/>
          <w:sz w:val="24"/>
          <w:szCs w:val="24"/>
        </w:rPr>
        <w:t xml:space="preserve">Community Profile Data Directly Relevant to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Demographic Factor</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Plan Data (2020)</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Relevance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Population growth projection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Las Cruces projected to grow 37% to ~140,000–141,500 by 2045 at ~1.2%/year</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Growing population = expanding customer base over the Hub's 5–10 year operating horizon; lender projections are conservative relative to actual city trajectory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age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32.6 years; 65% of residents under age 44; 20–24 cohort is the single largest age group</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Precisely the demographic most likely to seek diverse, social dining experiences — global cuisine, Mediterranean, ramen, craft cider; the Hub's primary variety-seeking audience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Hispanic/Latino population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58.6% Hispanic/Latino; 71.5% racial/ethnic minority</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NM/Mexican food anchors + bilingual marketing + 70% minority entrepreneur stall commitment are directly aligned with this community profile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Median household income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$40,924 (2017); ~24% of residents below federal poverty line</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Supports Hub's accessible price point strategy ($12–$20/entrée); validates graduated rent model for first-time minority entrepreneurs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Food/hospitality employment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Arts, entertainment, recreation, accommodation, and food services = 13.1% of employment — #2 sector</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directly expands the city's #2 employment sector; job creation narrative is grounded in the city's own economic data</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Jobs-to-housing ratio</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~1.06:1, below recommended range; notable in-commuting pattern</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targets daytime workers, evening social use, and downtown event traffic — exactly the audience a below-ratio jobs market creates</w:t>
            </w:r>
          </w:p>
        </w:tc>
      </w:tr>
    </w:tbl>
    <w:p>
      <w:pPr>
        <w:spacing w:after="80" w:before="80"/>
      </w:pPr>
      <w:r>
        <w:t xml:space="preserve"/>
      </w:r>
    </w:p>
    <w:p>
      <w:pPr>
        <w:spacing w:after="80" w:before="220"/>
      </w:pPr>
      <w:r>
        <w:rPr>
          <w:rFonts w:ascii="Arial" w:cs="Arial" w:eastAsia="Arial" w:hAnsi="Arial"/>
          <w:b/>
          <w:bCs/>
          <w:color w:val="14746F"/>
          <w:sz w:val="24"/>
          <w:szCs w:val="24"/>
        </w:rPr>
        <w:t xml:space="preserve">Community Survey Priorities — Direct Hub Alignment</w:t>
      </w:r>
    </w:p>
    <w:p>
      <w:pPr>
        <w:spacing w:after="80" w:before="60"/>
      </w:pPr>
      <w:r>
        <w:rPr>
          <w:rFonts w:ascii="Arial" w:cs="Arial" w:eastAsia="Arial" w:hAnsi="Arial"/>
          <w:color w:val="1A1A1A"/>
          <w:sz w:val="22"/>
          <w:szCs w:val="22"/>
        </w:rPr>
        <w:t xml:space="preserve">The Elevate Las Cruces implementation survey (544 English + 14 Spanish responses, late 2019) ranked plan goals on a weighted 4-point scale. The Hub simultaneously advances six of the top-ranked community priorities: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Goal Category</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Survey Score (max 4.0)</w:t>
            </w:r>
          </w:p>
        </w:tc>
        <w:tc>
          <w:tcPr>
            <w:tcW w:type="dxa" w:w="4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How the Hub Advances This Goal</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Ready Workforce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3.51 — Highest ranked</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NMSU + DACC formal workforce partnership; 10–15 paid apprenticeships/year at $15–$18/hour; career ladder from dishwasher to owner-operator; ServSafe certification support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Economic Equity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3.47 — Second highest</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70% of stalls reserved for first-time, minority, veteran, or immigrant entrepreneurs; graduated rent ($2,000/month first 6 months); bilingual onboarding; zero-barrier-to-entry incubator pathway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Entrepreneurship</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3.37</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12+ food businesses launched Year 1; structured 3-stage incubator pipeline; monthly P&amp;L coaching; SBA graduation pathway; SVEDC and El Calvario referral pipelines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Community Health</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3.32</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Plant-forward Mediterranean vendor; local agriculture sourcing (20–30% local commitment); food access in underserved downtown corridor; healthy food options alongside cultural cuisine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Diversification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3.21</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 Signature Restaurant, Mediterranean, Southern BBQ, Asian fusion, ramen — every cuisine the Hub introduces diversifies Las Cruces' restaurant landscape away from its heavy NM/Mexican/fast food concentration</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Food Security</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3.05</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location improves food access; commissary kitchen available to food entrepreneurs at $25–$35/hour; El Calvario and SVEDC referral partnership extends reach to lowest-income food entrepreneurs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Accessible Social Spaces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3.14</w:t>
            </w:r>
          </w:p>
        </w:tc>
        <w:tc>
          <w:tcPr>
            <w:tcW w:type="dxa" w:w="4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60–80 seat community gathering area; free/low-cost event programming (trivia, Loteria, live music); monthly cultural festivals open to all; family-friendly design</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Centers and Corridors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3.00</w:t>
            </w:r>
          </w:p>
        </w:tc>
        <w:tc>
          <w:tcPr>
            <w:tcW w:type="dxa" w:w="4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 Las Cruces location activates the city's highest-priority mixed-use center; foot traffic benefit to adjacent businesses; DLCP partnership reinforces Main Street corridor strategy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6"/>
              <w:left w:val="thick" w:color="1B3A5C" w:sz="18"/>
              <w:bottom w:val="single" w:color="1B3A5C" w:sz="6"/>
              <w:right w:val="none" w:color="FFFFFF" w:sz="0"/>
            </w:tcBorders>
            <w:shd w:fill="EEF2F7" w:val="clear"/>
            <w:tcMar>
              <w:top w:type="dxa" w:w="100"/>
              <w:left w:type="dxa" w:w="200"/>
              <w:bottom w:type="dxa" w:w="100"/>
              <w:right w:type="dxa" w:w="120"/>
            </w:tcMar>
          </w:tcPr>
          <w:p>
            <w:pPr>
              <w:spacing w:after="40" w:before="0"/>
            </w:pPr>
            <w:r>
              <w:rPr>
                <w:rFonts w:ascii="Arial" w:cs="Arial" w:eastAsia="Arial" w:hAnsi="Arial"/>
                <w:b/>
                <w:bCs/>
                <w:color w:val="1B3A5C"/>
                <w:sz w:val="22"/>
                <w:szCs w:val="22"/>
              </w:rPr>
              <w:t xml:space="preserve">Grant Application Instruction</w:t>
            </w:r>
          </w:p>
          <w:p>
            <w:pPr>
              <w:spacing w:after="0" w:before="0"/>
            </w:pPr>
            <w:r>
              <w:rPr>
                <w:rFonts w:ascii="Arial" w:cs="Arial" w:eastAsia="Arial" w:hAnsi="Arial"/>
                <w:color w:val="1A1A1A"/>
                <w:sz w:val="21"/>
                <w:szCs w:val="21"/>
              </w:rPr>
              <w:t xml:space="preserve">When applying to NMFA, HFFF, EPE/MVEDA, DLCP, USDA, or any city-administered program: cite the specific Elevate Las Cruces survey scores above. Grant reviewers at the City of Las Cruces and MVEDA will recognize these as their own adopted priorities. Framing the Hub as a project that advances Ready Workforce (3.51), Economic Equity (3.47), and Entrepreneurship (3.37) simultaneously is the strongest possible alignment statement.</w:t>
            </w:r>
          </w:p>
        </w:tc>
      </w:tr>
    </w:tbl>
    <w:p>
      <w:pPr>
        <w:spacing w:after="80" w:before="80"/>
      </w:pPr>
      <w:r>
        <w:t xml:space="preserve"/>
      </w:r>
    </w:p>
    <w:p>
      <w:pPr>
        <w:spacing w:after="80" w:before="220"/>
      </w:pPr>
      <w:r>
        <w:rPr>
          <w:rFonts w:ascii="Arial" w:cs="Arial" w:eastAsia="Arial" w:hAnsi="Arial"/>
          <w:b/>
          <w:bCs/>
          <w:color w:val="14746F"/>
          <w:sz w:val="24"/>
          <w:szCs w:val="24"/>
        </w:rPr>
        <w:t xml:space="preserve">Growth Scenario and Land Use Policy</w:t>
      </w:r>
    </w:p>
    <w:p>
      <w:pPr>
        <w:spacing w:after="80" w:before="60"/>
      </w:pPr>
      <w:r>
        <w:rPr>
          <w:rFonts w:ascii="Arial" w:cs="Arial" w:eastAsia="Arial" w:hAnsi="Arial"/>
          <w:color w:val="1A1A1A"/>
          <w:sz w:val="22"/>
          <w:szCs w:val="22"/>
        </w:rPr>
        <w:t xml:space="preserve">Elevate Las Cruces adopted a Consensus Scenario for growth through 2045 that explicitly favors centers, corridors, infill, and mixed-use nodes over isolated, auto-dependent fringe development. The plan projects 1.607 million additional square feet of retail and 1.103 million additional square feet of office growth city-wide, with downtown treated as an existing, high-priority mixed-use center — not a speculative future growth area. This means public tools and incentives are already authorized and expected to flow toward downtown projects.</w:t>
      </w:r>
    </w:p>
    <w:p>
      <w:pPr>
        <w:spacing w:after="80" w:before="80"/>
      </w:pPr>
      <w:r>
        <w:t xml:space="preserve"/>
      </w:r>
    </w:p>
    <w:p>
      <w:pPr>
        <w:spacing w:after="80" w:before="60"/>
      </w:pPr>
      <w:r>
        <w:rPr>
          <w:rFonts w:ascii="Arial" w:cs="Arial" w:eastAsia="Arial" w:hAnsi="Arial"/>
          <w:color w:val="1A1A1A"/>
          <w:sz w:val="22"/>
          <w:szCs w:val="22"/>
        </w:rPr>
        <w:t xml:space="preserve">For the Hub, the key policy implication is that locating downtown is the city's preferred investment geography. A downtown Hub site activates the city's highest-policy-priority center, qualifies for the Downtown TIDD, sits within or adjacent to the Downtown-Amador Proximo Qualified Opportunity Zone, and aligns with the Arts and Cultural District Plan (2018) that links cultural programming to economic growth. These are not coincidental benefits — they are the direct result of choosing the location that city policy has already designated as the priority.</w:t>
      </w:r>
    </w:p>
    <w:p>
      <w:pPr>
        <w:spacing w:after="80" w:before="80"/>
      </w:pPr>
      <w:r>
        <w:t xml:space="preserve"/>
      </w:r>
    </w:p>
    <w:p>
      <w:pPr>
        <w:spacing w:after="80" w:before="220"/>
      </w:pPr>
      <w:r>
        <w:rPr>
          <w:rFonts w:ascii="Arial" w:cs="Arial" w:eastAsia="Arial" w:hAnsi="Arial"/>
          <w:b/>
          <w:bCs/>
          <w:color w:val="14746F"/>
          <w:sz w:val="24"/>
          <w:szCs w:val="24"/>
        </w:rPr>
        <w:t xml:space="preserve">Zoning and Investment Tools Already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Tool</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What It Is</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Application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 TIDD (Tax Increment Development District)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Dedicates a portion of gross receipts tax and property tax increment to public improvements in the downtown district</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downtown location means its GRT activity contributes to the TIDD increment; the Hub can request that TIDD-funded streetscape, public space, or infrastructure improvements benefit its block</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Downtown-Amador Proximo QOZ (Qualified Opportunity Zone)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Federal program allowing investors to defer and reduce capital gains taxes by investing in designated low-income census tracts</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 investors may qualify for QOZ tax treatment depending on precise site location; consult tax attorney for site-specific verification. If applicable, adds meaningful investor incentive beyond standard return projections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NMFA (New Mexico Finance Authority)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Allows city to invest public money in private ventures that create jobs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Primary grant mechanism for the Hub; city can contribute direct financial support tied to job creation commitments. Hub's 85–95 job creation projection is the core qualifying metric</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GRIP (Gross Receipts Investment Program) -- El Paseo MRA Plan confirms: up to 50% reimbursement of GRT for infrastructure development costs; both new retail and targeted commercial businesses eligible; underutilized tool not yet in Hub's capital stack; evaluate with City Economic Development in Phase 1</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Rebates a portion of local GRT for large sales-generating projects that build public infrastructure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Potential supplemental mechanism if Hub's annual GRT generation qualifies; verify current GRIP threshold requirements with City Economic Development</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Commercial Retail District + Urban Character Area (Realize Las Cruces 2025 Code)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Provides land-use predictability and design controls for the downtown commercial core</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Hub's downtown location automatically qualifies; design standards for pedestrian frontage, outdoor seating, and event space align with Hub's program</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Infill Development Overlay / Urban Infill (Realize Las Cruces 2025 -- parking minimums eliminated in Urban Character Areas)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Reduces regulatory barriers for development on underutilized infill sites</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Applicable if site is a redevelopment/adaptive reuse of existing building — which is the Hub's current concept; overlay may accelerate permitting and reduce fee exposure</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N.2 East Lohman Development Plan — Implementation Lessons</w:t>
      </w:r>
    </w:p>
    <w:p>
      <w:pPr>
        <w:spacing w:after="80" w:before="60"/>
      </w:pPr>
      <w:r>
        <w:rPr>
          <w:rFonts w:ascii="Arial" w:cs="Arial" w:eastAsia="Arial" w:hAnsi="Arial"/>
          <w:color w:val="1A1A1A"/>
          <w:sz w:val="22"/>
          <w:szCs w:val="22"/>
        </w:rPr>
        <w:t xml:space="preserve">The East Lohman Development Plan (adopted September 20, 2021) is a subarea implementation framework for a developing corridor in east Las Cruces. Although the Hub is positioned for downtown rather than East Lohman, this plan is strategically valuable because it shows how Las Cruces operationalizes comprehensive plan concepts at the district level — and it contains the city's clearest formal statement of market demand for food-oriented development, the city's most detailed financing tool menu, and an explicit endorsement of Sawmill Market as a development precedent.</w:t>
      </w:r>
    </w:p>
    <w:p>
      <w:pPr>
        <w:spacing w:after="80" w:before="80"/>
      </w:pPr>
      <w:r>
        <w:t xml:space="preserve"/>
      </w:r>
    </w:p>
    <w:p>
      <w:pPr>
        <w:spacing w:after="80" w:before="220"/>
      </w:pPr>
      <w:r>
        <w:rPr>
          <w:rFonts w:ascii="Arial" w:cs="Arial" w:eastAsia="Arial" w:hAnsi="Arial"/>
          <w:b/>
          <w:bCs/>
          <w:color w:val="14746F"/>
          <w:sz w:val="24"/>
          <w:szCs w:val="24"/>
        </w:rPr>
        <w:t xml:space="preserve">Market Analysis Findings — Direct Evidence for Hub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Finding</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Source</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Hub Application</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Neighborhood-scale retail and restaurants are the strongest commercial opportunity in Las Cruces' growth areas, supported by household growth and daytime activity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East Lohman market analysis (RCLCO)</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strongest city-endorsed market analysis confirms the Hub's food-service format is exactly what Las Cruces needs more of — validated by the city's own hired consultants, not just the founder</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Large-format retail is increasingly disrupted by e-commerce; smaller-scale food and service uses are identified as more resilient</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East Lohman market analysis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Hub's small-stall, multi-concept format is structurally more resilient than traditional restaurant or retail formats — a point now backed by the city's own market analysis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~80% of East Lohman vision survey respondents wanted more neighborhood-scale cafes, restaurants, and small retail</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Community engagement data</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Even in a growth corridor 5+ miles from downtown, 80% demand for food gathering spaces. Downtown demand — with higher foot traffic, cultural programming, and tourism — is demonstrably stronger</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Neighborhood retail at 30,000–50,000 sq ft is supportable through 2030; the Hub at 8,000 sq ft is well within viable scale</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East Lohman market analysis (RCLCO)</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Hub's 8,000 sq ft is the most market-appropriate scale for Las Cruces — large enough for a destination, small enough to fill and operate efficiently</w:t>
            </w:r>
          </w:p>
        </w:tc>
      </w:tr>
    </w:tbl>
    <w:p>
      <w:pPr>
        <w:spacing w:after="80" w:before="80"/>
      </w:pPr>
      <w:r>
        <w:t xml:space="preserve"/>
      </w:r>
    </w:p>
    <w:p>
      <w:pPr>
        <w:spacing w:after="80" w:before="220"/>
      </w:pPr>
      <w:r>
        <w:rPr>
          <w:rFonts w:ascii="Arial" w:cs="Arial" w:eastAsia="Arial" w:hAnsi="Arial"/>
          <w:b/>
          <w:bCs/>
          <w:color w:val="14746F"/>
          <w:sz w:val="24"/>
          <w:szCs w:val="24"/>
        </w:rPr>
        <w:t xml:space="preserve">Sawmill Market — The City's Own Cited Precedent</w:t>
      </w:r>
    </w:p>
    <w:p>
      <w:pPr>
        <w:spacing w:after="80" w:before="60"/>
      </w:pPr>
      <w:r>
        <w:rPr>
          <w:rFonts w:ascii="Arial" w:cs="Arial" w:eastAsia="Arial" w:hAnsi="Arial"/>
          <w:color w:val="1A1A1A"/>
          <w:sz w:val="22"/>
          <w:szCs w:val="22"/>
        </w:rPr>
        <w:t xml:space="preserve">The East Lohman plan explicitly reviews Sawmill Community Land Trust and Sawmill Market (Albuquerque) as a development precedent. It notes that the Sawmill Market food hall emerged from phased mixed-use investment and that subsidized housing and affordability-oriented development did not harm commercial viability, market-rate demand, or private investment in trendy retail and restaurant space. The plan specifically states: the food hall attracted private investment that followed, rather than preceded, mixed-income neighborhood building.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The Grant Application Implication</w:t>
            </w:r>
          </w:p>
          <w:p>
            <w:pPr>
              <w:spacing w:after="0" w:before="0"/>
            </w:pPr>
            <w:r>
              <w:rPr>
                <w:rFonts w:ascii="Arial" w:cs="Arial" w:eastAsia="Arial" w:hAnsi="Arial"/>
                <w:color w:val="1A1A1A"/>
                <w:sz w:val="21"/>
                <w:szCs w:val="21"/>
              </w:rPr>
              <w:t xml:space="preserve">The Las Cruces City Council has already endorsed Sawmill Market as a positive precedent in an adopted planning document. When the Hub presents Sawmill Market as comparable market analysis and validation in Section 9 of the business plan — or in grant applications to the City of Las Cruces — it is citing the city's own adopted planning documents back to city staff. That is a far stronger position than citing an outside case study.</w:t>
            </w:r>
          </w:p>
        </w:tc>
      </w:tr>
    </w:tbl>
    <w:p>
      <w:pPr>
        <w:spacing w:after="80" w:before="80"/>
      </w:pPr>
      <w:r>
        <w:t xml:space="preserve"/>
      </w:r>
    </w:p>
    <w:p>
      <w:pPr>
        <w:spacing w:after="80" w:before="220"/>
      </w:pPr>
      <w:r>
        <w:rPr>
          <w:rFonts w:ascii="Arial" w:cs="Arial" w:eastAsia="Arial" w:hAnsi="Arial"/>
          <w:b/>
          <w:bCs/>
          <w:color w:val="14746F"/>
          <w:sz w:val="24"/>
          <w:szCs w:val="24"/>
        </w:rPr>
        <w:t xml:space="preserve">Financing Tools Identified in the East Lohman Plan</w:t>
      </w:r>
    </w:p>
    <w:p>
      <w:pPr>
        <w:spacing w:after="80" w:before="60"/>
      </w:pPr>
      <w:r>
        <w:rPr>
          <w:rFonts w:ascii="Arial" w:cs="Arial" w:eastAsia="Arial" w:hAnsi="Arial"/>
          <w:color w:val="1A1A1A"/>
          <w:sz w:val="22"/>
          <w:szCs w:val="22"/>
        </w:rPr>
        <w:t xml:space="preserve">The East Lohman plan identifies a broader menu of financing tools than the Hub's capital stack currently references. These were endorsed by City Council as appropriate mechanisms for catalytic mixed-use projects: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Tool</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Relevance to Hub</w:t>
            </w:r>
          </w:p>
        </w:tc>
        <w:tc>
          <w:tcPr>
            <w:tcW w:type="dxa" w:w="3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Recommended Action</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TIDD (Tax Increment Development District)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Already in Hub capital stack; East Lohman plan confirms it as standard tool for catalytic projects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Confirm with City Economic Development that downtown TIDD increment is available for Hub's block; request TIDD-funded public improvements (sidewalk, lighting, streetscape) concurrent with Hub buildout</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LEDA (Local Economic Development Act)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Primary grant mechanism; city invests in private ventures creating jobs</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Core application: $100,000–$200,000 target based on 85–95 job creation; cite Elevate Las Cruces survey scores for Economic Equity (3.47) and Entrepreneurship (3.37) in application narrative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QOZ (Qualified Opportunity Zone)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Downtown-Amador Proximo QOZ may apply to Hub site</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Verify site-specific QOZ eligibility with tax attorney before investor presentations; if eligible, present to investors as additional tax incentive on top of 8% preferred return and 17–20% IRR projections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GRIP (Gross Receipts Investment Program)</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Rebates local GRT for large projects building public infrastructure</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Evaluate once GRT projections for Year 1–2 are confirmed; if Hub generates $500K+ in GRT, may qualify for rebate that supports public realm improvements</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IRB (Industrial Revenue Bonds)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Tax-exempt financing for qualifying economic development projects</w:t>
            </w:r>
          </w:p>
        </w:tc>
        <w:tc>
          <w:tcPr>
            <w:tcW w:type="dxa" w:w="3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Lower-probability tool for a food hall; explore with City Economic Development only if SBA 7(a) is declined — IRBs may partially substitute for debt financing at lower cost</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Deferred Fee Payments and Impact Fee Reductions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East Lohman plan identifies these as practical tools to reduce upfront costs for mixed-use development</w:t>
            </w:r>
          </w:p>
        </w:tc>
        <w:tc>
          <w:tcPr>
            <w:tcW w:type="dxa" w:w="3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Request upfront in site lease negotiation: ask City of Las Cruces for deferred permit fees, reduced impact fees, or fee waivers as part of NMFA agreement; the plan establishes this as precedent for catalytic projects</w:t>
            </w:r>
          </w:p>
        </w:tc>
      </w:tr>
    </w:tbl>
    <w:p>
      <w:pPr>
        <w:spacing w:after="80" w:before="80"/>
      </w:pPr>
      <w:r>
        <w:t xml:space="preserve"/>
      </w:r>
    </w:p>
    <w:p>
      <w:pPr>
        <w:spacing w:after="80" w:before="220"/>
      </w:pPr>
      <w:r>
        <w:rPr>
          <w:rFonts w:ascii="Arial" w:cs="Arial" w:eastAsia="Arial" w:hAnsi="Arial"/>
          <w:b/>
          <w:bCs/>
          <w:color w:val="14746F"/>
          <w:sz w:val="24"/>
          <w:szCs w:val="24"/>
        </w:rPr>
        <w:t xml:space="preserve">Design Standards the Hub Should Adopt</w:t>
      </w:r>
    </w:p>
    <w:p>
      <w:pPr>
        <w:spacing w:after="80" w:before="60"/>
      </w:pPr>
      <w:r>
        <w:rPr>
          <w:rFonts w:ascii="Arial" w:cs="Arial" w:eastAsia="Arial" w:hAnsi="Arial"/>
          <w:color w:val="1A1A1A"/>
          <w:sz w:val="22"/>
          <w:szCs w:val="22"/>
        </w:rPr>
        <w:t xml:space="preserve">Both planning documents describe what a successful mixed-use food destination should look like physically. The Hub should incorporate these design elements not only because they produce a better customer experience, but because they align the project with adopted city design policy — which makes permitting smoother and grant narratives stronger:</w:t>
      </w:r>
    </w:p>
    <w:p>
      <w:pPr>
        <w:spacing w:after="80" w:before="80"/>
      </w:pPr>
      <w:r>
        <w:t xml:space="preserve"/>
      </w:r>
    </w:p>
    <w:p>
      <w:pPr>
        <w:pStyle w:val="ListParagraph"/>
        <w:numPr>
          <w:ilvl w:val="0"/>
          <w:numId w:val="2"/>
        </w:numPr>
        <w:spacing w:after="40" w:before="40"/>
      </w:pPr>
      <w:r>
        <w:rPr>
          <w:rFonts w:ascii="Arial" w:cs="Arial" w:eastAsia="Arial" w:hAnsi="Arial"/>
          <w:b/>
          <w:bCs/>
          <w:color w:val="1B3A5C"/>
          <w:sz w:val="22"/>
          <w:szCs w:val="22"/>
        </w:rPr>
        <w:t xml:space="preserve">Shaded outdoor seating </w:t>
      </w:r>
      <w:r>
        <w:rPr>
          <w:rFonts w:ascii="Arial" w:cs="Arial" w:eastAsia="Arial" w:hAnsi="Arial"/>
          <w:color w:val="1A1A1A"/>
          <w:sz w:val="22"/>
          <w:szCs w:val="22"/>
        </w:rPr>
        <w:t xml:space="preserve">Elevate Las Cruces and the East Lohman plan both emphasize public gathering space with shade as a design priority in the desert climate. The Hub's outdoor seating area should include shade structures, landscape, and comfortable seating that functions as public space, not just overflow seating.</w:t>
      </w:r>
    </w:p>
    <w:p>
      <w:pPr>
        <w:pStyle w:val="ListParagraph"/>
        <w:numPr>
          <w:ilvl w:val="0"/>
          <w:numId w:val="2"/>
        </w:numPr>
        <w:spacing w:after="40" w:before="40"/>
      </w:pPr>
      <w:r>
        <w:rPr>
          <w:rFonts w:ascii="Arial" w:cs="Arial" w:eastAsia="Arial" w:hAnsi="Arial"/>
          <w:b/>
          <w:bCs/>
          <w:color w:val="1B3A5C"/>
          <w:sz w:val="22"/>
          <w:szCs w:val="22"/>
        </w:rPr>
        <w:t xml:space="preserve">Active pedestrian frontage </w:t>
      </w:r>
      <w:r>
        <w:rPr>
          <w:rFonts w:ascii="Arial" w:cs="Arial" w:eastAsia="Arial" w:hAnsi="Arial"/>
          <w:color w:val="1A1A1A"/>
          <w:sz w:val="22"/>
          <w:szCs w:val="22"/>
        </w:rPr>
        <w:t xml:space="preserve">Both plans require commercial ground floors to present active, transparent frontages to the public right-of-way. The Hub's counter/serving window design and any storefront glazing should prioritize street presence over internal focus.</w:t>
      </w:r>
    </w:p>
    <w:p>
      <w:pPr>
        <w:pStyle w:val="ListParagraph"/>
        <w:numPr>
          <w:ilvl w:val="0"/>
          <w:numId w:val="2"/>
        </w:numPr>
        <w:spacing w:after="40" w:before="40"/>
      </w:pPr>
      <w:r>
        <w:rPr>
          <w:rFonts w:ascii="Arial" w:cs="Arial" w:eastAsia="Arial" w:hAnsi="Arial"/>
          <w:b/>
          <w:bCs/>
          <w:color w:val="1B3A5C"/>
          <w:sz w:val="22"/>
          <w:szCs w:val="22"/>
        </w:rPr>
        <w:t xml:space="preserve">Event capacity and public programming </w:t>
      </w:r>
      <w:r>
        <w:rPr>
          <w:rFonts w:ascii="Arial" w:cs="Arial" w:eastAsia="Arial" w:hAnsi="Arial"/>
          <w:color w:val="1A1A1A"/>
          <w:sz w:val="22"/>
          <w:szCs w:val="22"/>
        </w:rPr>
        <w:t xml:space="preserve">The comprehensive plan's cultural district goals and the East Lohman neighborhood center concept both treat community events as integral to successful mixed-use places. The Hub's monthly cultural festivals and quarterly night markets directly advance this policy goal — document them as community programming commitments in permit applications and grant narratives.</w:t>
      </w:r>
    </w:p>
    <w:p>
      <w:pPr>
        <w:pStyle w:val="ListParagraph"/>
        <w:numPr>
          <w:ilvl w:val="0"/>
          <w:numId w:val="2"/>
        </w:numPr>
        <w:spacing w:after="40" w:before="40"/>
      </w:pPr>
      <w:r>
        <w:rPr>
          <w:rFonts w:ascii="Arial" w:cs="Arial" w:eastAsia="Arial" w:hAnsi="Arial"/>
          <w:b/>
          <w:bCs/>
          <w:color w:val="1B3A5C"/>
          <w:sz w:val="22"/>
          <w:szCs w:val="22"/>
        </w:rPr>
        <w:t xml:space="preserve">Rear or screened parking </w:t>
      </w:r>
      <w:r>
        <w:rPr>
          <w:rFonts w:ascii="Arial" w:cs="Arial" w:eastAsia="Arial" w:hAnsi="Arial"/>
          <w:color w:val="1A1A1A"/>
          <w:sz w:val="22"/>
          <w:szCs w:val="22"/>
        </w:rPr>
        <w:t xml:space="preserve">Both plans prefer parking that does not dominate pedestrian frontages. Any Hub parking should be rear-located, screened, or shared with adjacent uses — not a surface lot fronting the street.</w:t>
      </w:r>
    </w:p>
    <w:p>
      <w:pPr>
        <w:pStyle w:val="ListParagraph"/>
        <w:numPr>
          <w:ilvl w:val="0"/>
          <w:numId w:val="2"/>
        </w:numPr>
        <w:spacing w:after="40" w:before="40"/>
      </w:pPr>
      <w:r>
        <w:rPr>
          <w:rFonts w:ascii="Arial" w:cs="Arial" w:eastAsia="Arial" w:hAnsi="Arial"/>
          <w:b/>
          <w:bCs/>
          <w:color w:val="1B3A5C"/>
          <w:sz w:val="22"/>
          <w:szCs w:val="22"/>
        </w:rPr>
        <w:t xml:space="preserve">Bike access and wayfinding </w:t>
      </w:r>
      <w:r>
        <w:rPr>
          <w:rFonts w:ascii="Arial" w:cs="Arial" w:eastAsia="Arial" w:hAnsi="Arial"/>
          <w:color w:val="1A1A1A"/>
          <w:sz w:val="22"/>
          <w:szCs w:val="22"/>
        </w:rPr>
        <w:t xml:space="preserve">Downtown mobility plans include active transportation infrastructure. The Hub should provide secure bike parking and appear in downtown wayfinding signage as a cultural destination.</w:t>
      </w:r>
    </w:p>
    <w:p>
      <w:pPr>
        <w:spacing w:after="80" w:before="80"/>
      </w:pPr>
      <w:r>
        <w:t xml:space="preserve"/>
      </w:r>
    </w:p>
    <w:p>
      <w:pPr>
        <w:pStyle w:val="Heading2"/>
        <w:spacing w:after="100" w:before="320"/>
      </w:pPr>
      <w:r>
        <w:rPr>
          <w:rFonts w:ascii="Arial" w:cs="Arial" w:eastAsia="Arial" w:hAnsi="Arial"/>
          <w:b/>
          <w:bCs/>
          <w:color w:val="2563A8"/>
          <w:sz w:val="28"/>
          <w:szCs w:val="28"/>
        </w:rPr>
        <w:t xml:space="preserve">N.3 How to Use This Analysis in Grant Applications and City Meetings</w:t>
      </w:r>
    </w:p>
    <w:p>
      <w:pPr>
        <w:spacing w:after="80" w:before="60"/>
      </w:pPr>
      <w:r>
        <w:rPr>
          <w:rFonts w:ascii="Arial" w:cs="Arial" w:eastAsia="Arial" w:hAnsi="Arial"/>
          <w:color w:val="1A1A1A"/>
          <w:sz w:val="22"/>
          <w:szCs w:val="22"/>
        </w:rPr>
        <w:t xml:space="preserve">The following table translates the two planning documents into specific talking points for each funding source the Hub is pursuing: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Funding Source / Meeting</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Primary Policy Citation</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vAlign w:val="center"/>
          </w:tcPr>
          <w:p>
            <w:r>
              <w:rPr>
                <w:rFonts w:ascii="Arial" w:cs="Arial" w:eastAsia="Arial" w:hAnsi="Arial"/>
                <w:b/>
                <w:bCs/>
                <w:color w:val="FFFFFF"/>
                <w:sz w:val="20"/>
                <w:szCs w:val="20"/>
              </w:rPr>
              <w:t xml:space="preserve">Key Talking Point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City of Las Cruces Economic Development (NMFA)</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Elevate Las Cruces: Economic Equity (3.47), Entrepreneurship (3.37), Ready Workforce (3.51)</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 implements three of the five highest-rated community priorities in the Elevate Las Cruces survey — Economic Equity, Entrepreneurship, and Ready Workforce. Every dollar of NMFA funding supports a project your own community already told you to prioritize.'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MVEDA / EPE Economic Development Fund</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Elevate Las Cruces: food/hospitality as #2 employment sector at 13.1%</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 are directly expanding Las Cruces' second-largest employment sector with 85–95 new jobs, 12+ new food businesses, and $200,000–$300,000 in annual local agriculture purchases.'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DLCP / Renovate Main Street</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Elevate Las Cruces: Centers and Corridors (3.00); Downtown TIDD</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 activates downtown Las Cruces as the mixed-use center the comprehensive plan already designates as the highest development priority. Our project is a direct implementation of the 2016 Downtown Master Plan goals.'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USDA LFPP / NM Dept. of Agriculture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Elevate Las Cruces: Food Security (3.05); East Lohman: neighborhood food access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'We are creating a permanent, accessible food destination in a downtown corridor while committing 20–30% of vendor sourcing to New Mexico farms and producers — directly advancing Elevate Las Cruces food security goals.'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HFFF (Healthy Food Financing Initiative)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Elevate Las Cruces: Community Health (3.32); Food Security (3.05)</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Hub brings diverse, fresh-ingredient food options — global cuisine, Mediterranean, plant-forward — to a downtown corridor where residents currently choose between fast food and Mexican/NM restaurants. This directly addresses the food variety gap in a food-access-constrained environment.'</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Investor presentations (QOZ angle)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Elevate Las Cruces: Downtown-Amador Proximo QOZ designation</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color w:val="1A1A1A"/>
                <w:sz w:val="20"/>
                <w:szCs w:val="20"/>
              </w:rPr>
              <w:t xml:space="preserve">'Subject to site-specific verification, this investment may qualify for Qualified Opportunity Zone treatment, allowing investors to defer and reduce capital gains taxes — an additional return mechanism on top of the 8% preferred return and 17–20% IRR projections.'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Any city permit or zoning meeting</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East Lohman: Sawmill Market as city-endorsed precedent; form-based design standards</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color w:val="1A1A1A"/>
                <w:sz w:val="20"/>
                <w:szCs w:val="20"/>
              </w:rPr>
              <w:t xml:space="preserve">'The East Lohman Development Plan, adopted by City Council in September 2021, cites Sawmill Market as a successful precedent for food-oriented commercial investment following mixed-use neighborhood development. We are the Las Cruces implementation of that same model — exactly where city policy says to build it.'</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N.4 The Policy Case in One Paragraph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For any meeting, pitch, or grant application — use this:</w:t>
            </w:r>
          </w:p>
          <w:p>
            <w:pPr>
              <w:spacing w:after="0" w:before="0"/>
            </w:pPr>
            <w:r>
              <w:rPr>
                <w:rFonts w:ascii="Arial" w:cs="Arial" w:eastAsia="Arial" w:hAnsi="Arial"/>
                <w:color w:val="1A1A1A"/>
                <w:sz w:val="21"/>
                <w:szCs w:val="21"/>
              </w:rPr>
              <w:t xml:space="preserve">The Las Cruces Culinary Innovation Hub is a direct implementation of Elevate Las Cruces (adopted February 2020) and the East Lohman Development Plan (adopted September 2021). It advances the six highest-ranked community priorities in the Elevate Las Cruces implementation survey: Ready Workforce (3.51), Economic Equity (3.47), Entrepreneurship (3.37), Community Health (3.32), Diversification (3.21), and Accessible Social Spaces (3.14). It uses investment tools — NMFA, TIDD, QOZ, GRIP — already identified and endorsed by City Council in both planning documents. It locates in downtown Las Cruces, which the comprehensive plan designates as the city's highest-priority mixed-use center. And it replicates the Sawmill Market model that the East Lohman plan cites as proof that food-oriented commercial investment creates value in New Mexico communities. The City of Las Cruces does not need to take a leap of faith on this project. The policy framework for it already exists.</w:t>
            </w:r>
          </w:p>
        </w:tc>
      </w:tr>
    </w:tbl>
    <w:p>
      <w:pPr>
        <w:spacing w:after="80" w:before="80"/>
      </w:pPr>
      <w:r>
        <w:t xml:space="preserve"/>
      </w:r>
    </w:p>
    <w:p>
      <w:pPr>
        <w:spacing w:after="80" w:before="60"/>
      </w:pPr>
      <w:r>
        <w:rPr>
          <w:rFonts w:ascii="Arial" w:cs="Arial" w:eastAsia="Arial" w:hAnsi="Arial"/>
          <w:i/>
          <w:iCs/>
          <w:color w:val="555555"/>
          <w:sz w:val="20"/>
          <w:szCs w:val="20"/>
        </w:rPr>
        <w:t xml:space="preserve">Sources: Elevate Las Cruces Comprehensive Plan (adopted February 18, 2020; City of Las Cruces); East Lohman Development Plan (adopted September 20, 2021; prepared by Sites Southwest, Civic Plan Studio, Gateway Planning, RCLCO, and Wilson and Company); Volume IV Community Participation (implementation survey data); Volume III Scenario Planning; Volume II Community Profile.</w:t>
      </w:r>
    </w:p>
    <w:p>
      <w:r>
        <w:br w:type="page"/>
      </w:r>
    </w:p>
    <w:p>
      <w:pPr>
        <w:pStyle w:val="Heading1"/>
        <w:spacing w:before="480" w:after="140"/>
        <w:pBdr>
          <w:bottom w:val="single" w:sz="6" w:color="2563A8" w:space="8"/>
        </w:pBdr>
      </w:pPr>
      <w:r>
        <w:rPr>
          <w:rFonts w:ascii="Arial" w:hAnsi="Arial"/>
          <w:b/>
          <w:color w:val="1B3A5C"/>
          <w:sz w:val="36"/>
          <w:szCs w:val="36"/>
        </w:rPr>
        <w:t>Supplement O: Realize Las Cruces 2025 Zoning Code -- Site Selection Analysis</w:t>
      </w:r>
    </w:p>
    <w:p>
      <w:pPr>
        <w:spacing w:before="60" w:after="80"/>
      </w:pPr>
      <w:r>
        <w:rPr>
          <w:rFonts w:ascii="Arial" w:hAnsi="Arial"/>
          <w:color w:val="1A1A1A"/>
          <w:sz w:val="22"/>
          <w:szCs w:val="22"/>
        </w:rPr>
        <w:t xml:space="preserve">Realize Las Cruces is the City's new character-based zoning code, passed by City Council in February 2025 and upheld after a public petition challenge in May 2025. It is the first major overhaul of Las Cruces land use regulations since 2001 -- a 24-year gap. The new code fundamentally changes how commercial and mixed-use development is classified, where food service uses are permitted, and what parking is required. This supplement documents the direct implications for the Hub's site selection, permitting strategy, and cost structure.</w:t>
      </w:r>
    </w:p>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B3A5C"/>
              <w:bottom w:val="single" w:sz="6" w:color="1B3A5C"/>
              <w:left w:val="thick" w:sz="18" w:color="1B3A5C"/>
              <w:right w:val="none" w:sz="0" w:color="FFFFFF"/>
            </w:tcBorders>
            <w:shd w:fill="EEF2F7" w:val="clear"/>
            <w:tcMar>
              <w:top w:type="dxa" w:w="100"/>
              <w:bottom w:type="dxa" w:w="100"/>
              <w:left w:type="dxa" w:w="200"/>
              <w:right w:type="dxa" w:w="120"/>
            </w:tcMar>
          </w:tcPr>
          <w:p>
            <w:pPr>
              <w:spacing w:before="0" w:after="40"/>
            </w:pPr>
            <w:r>
              <w:rPr>
                <w:rFonts w:ascii="Arial" w:hAnsi="Arial"/>
                <w:b/>
                <w:color w:val="1B3A5C"/>
                <w:sz w:val="22"/>
                <w:szCs w:val="22"/>
              </w:rPr>
              <w:t>How to Access the Official Zoning Data</w:t>
            </w:r>
          </w:p>
          <w:p>
            <w:pPr>
              <w:spacing w:before="0" w:after="0"/>
            </w:pPr>
            <w:r>
              <w:rPr>
                <w:rFonts w:ascii="Arial" w:hAnsi="Arial"/>
                <w:color w:val="1A1A1A"/>
                <w:sz w:val="21"/>
                <w:szCs w:val="21"/>
              </w:rPr>
              <w:t xml:space="preserve">The City of Las Cruces maintains a public ArcGIS group layer called '2025 Zoning Code (Full Context Group)' containing four layers: (1) Owner Parcel -- most current parcel data from the County Assessor; (2) Overlays -- mixed-use overlay, town centers, urban/rural character; (3) 2025 Zoning Code -- primary layer with zoning district, character, town center, and mixed-use data per parcel; (4) Zoning District Underlay -- detail for Multi-Zoned Parcels (MZP). Access at: las-cruces.maps.arcgis.com (Item ID: d8afcd53b511453e91e8b09aa8221910). Note: a public parcel vacancy map is not yet available -- contact the City's NAT (Neighborhood Action Team) directly for parcel availability information.</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O.1 The New Zoning Structure -- What It Means for the Hub</w:t>
      </w:r>
    </w:p>
    <w:p>
      <w:pPr>
        <w:spacing w:before="60" w:after="80"/>
      </w:pPr>
      <w:r>
        <w:rPr>
          <w:rFonts w:ascii="Arial" w:hAnsi="Arial"/>
          <w:color w:val="1A1A1A"/>
          <w:sz w:val="22"/>
          <w:szCs w:val="22"/>
        </w:rPr>
        <w:t xml:space="preserve">The 2025 code organizes all Las Cruces parcels along two axes: Character Area (how urban or rural the location is) and Zoning District (what uses and densities are permitted). A food hall with a cider bar and commercial kitchen sits primarily in the commercial use category, but the new code creates multiple viable zoning contexts beyond the old Commercial Retail designation.</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1800"/>
        <w:gridCol w:w="2800"/>
        <w:gridCol w:w="47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Character Area</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Description</w:t>
            </w:r>
          </w:p>
        </w:tc>
        <w:tc>
          <w:tcPr>
            <w:tcW w:type="dxa" w:w="4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Relevance to Hub</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Urban Character Area</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Compact, walkable development. Includes downtown and center-city neighborhoods. Prioritizes people over cars. Parking minimums eliminated or sharply reduced.</w:t>
            </w:r>
          </w:p>
        </w:tc>
        <w:tc>
          <w:tcPr>
            <w:tcW w:type="dxa" w:w="4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BEST FIT for the Hub. Downtown Las Cruces is designated Urban Character. Parking minimum elimination is a material cost advantage ($5,000-$15,000 per space avoided). Food hall, restaurant, and cider bar uses supported by right in Commercial Retail and conditionally in NH-3, Mixed-Use, and Town Center overlays.</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Suburban Character Area</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Contemporary residential neighborhoods, commercial corridors, light industrial. Dispersed land uses but with incremental density now allowed. Parking still required but at reduced levels.</w:t>
            </w:r>
          </w:p>
        </w:tc>
        <w:tc>
          <w:tcPr>
            <w:tcW w:type="dxa" w:w="4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SECONDARY option. NH-3 and Commercial Retail zones within Suburban Character areas can support food hall use but with more complex parking requirements and likely farther from downtown foot traffic and tourism.</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Rural Character Area</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Far-periphery of city. Lower density. Not relevant to Hub.</w:t>
            </w:r>
          </w:p>
        </w:tc>
        <w:tc>
          <w:tcPr>
            <w:tcW w:type="dxa" w:w="4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NOT RELEVANT -- Hub requires pedestrian access, foot traffic, and event capacity that rural character areas cannot support.</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O.2 Zoning Districts Where the Hub Can Operate</w:t>
      </w:r>
    </w:p>
    <w:p>
      <w:pPr>
        <w:spacing w:before="60" w:after="80"/>
      </w:pPr>
      <w:r>
        <w:rPr>
          <w:rFonts w:ascii="Arial" w:hAnsi="Arial"/>
          <w:color w:val="1A1A1A"/>
          <w:sz w:val="22"/>
          <w:szCs w:val="22"/>
        </w:rPr>
        <w:t xml:space="preserve">Under Realize Las Cruces, food hall and restaurant commercial uses are not limited to the old Commercial Retail (C) zone. The new code creates commercial opportunities in multiple zoning contexts -- expanding the viable site search significantly beyond what the previous code allowed.</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1600"/>
        <w:gridCol w:w="2400"/>
        <w:gridCol w:w="2400"/>
        <w:gridCol w:w="2960"/>
      </w:tblGrid>
      <w:tr>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Zone</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It Allows</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Food Hall Viability</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Notes</w:t>
            </w:r>
          </w:p>
        </w:tc>
      </w:tr>
      <w:tr>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Commercial Retail (CR)</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Full commercial use by right; broadest commercial permissiveness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STRONG -- primary zone for food hall</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Most straightforward permitting path; look for CR-zoned parcels in Urban Character Area downtown first</w:t>
            </w:r>
          </w:p>
        </w:tc>
      </w:tr>
      <w:tr>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NH-3 (Neighborhood District 3)</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Transitional retail, office, and housing; up to 60 units/acre in urban; blends commercial and residential</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VIABLE -- food service and retail allowed; confirm specific use with City planner</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Expands site search to mixed-use corridor locations; especially relevant for W. Picacho MRA sites if zoned NH-3</w:t>
            </w:r>
          </w:p>
        </w:tc>
      </w:tr>
      <w:tr>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Mixed-Use Overlay</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Overlay applied on top of base zoning; promotes horizontal and vertical mixed-use on specific corridors</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VIABLE -- food hall fits the mixed-use model; overlay activates commercial permissions on otherwise residential parcels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Mixed-use overlay parcels visible in the Overlays layer of the 2025 Zoning Code ArcGIS group; check specific corridors</w:t>
            </w:r>
          </w:p>
        </w:tc>
      </w:tr>
      <w:tr>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Town Centers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Designated intersections and nodes intended to become walkable neighborhood anchors; commercial and residential mixed by design</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STRONG -- Town Centers are explicitly designed for food, retail, and community gathering</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Check Overlays layer in ArcGIS for Town Center designations near target sites; Town Center designation may also unlock additional NMFA and city incentive eligibility</w:t>
            </w:r>
          </w:p>
        </w:tc>
      </w:tr>
      <w:tr>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NH-2 (Neighborhood District 2)</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Horizontal and vertical mixed-use; housing + services co-located; up to 50 units/acre urban</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LIMITED -- food service may be permitted as accessory or ground-floor use; verify with City planner</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Not the primary target zone but may be relevant for ghost kitchen or commissary kitchen component if co-located with housing development</w:t>
            </w:r>
          </w:p>
        </w:tc>
      </w:tr>
      <w:tr>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NH-1 (Neighborhood District 1)</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Primarily residential; small daycares, workshops, and cafes legal in some contexts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UNLIKELY for full food hall; cafe or small-format use only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Not a viable zone for a full 8,000 sq ft food hall with cider bar; not a target for site search</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O.3 Parking Minimum Elimination -- Cost Impact</w:t>
      </w:r>
    </w:p>
    <w:p>
      <w:pPr>
        <w:spacing w:before="60" w:after="80"/>
      </w:pPr>
      <w:r>
        <w:rPr>
          <w:rFonts w:ascii="Arial" w:hAnsi="Arial"/>
          <w:color w:val="1A1A1A"/>
          <w:sz w:val="22"/>
          <w:szCs w:val="22"/>
        </w:rPr>
        <w:t xml:space="preserve">One of the most financially significant provisions of the Realize Las Cruces code for the Hub is the elimination of auto parking minimums in Urban Character Areas. Under the old code, a food hall of 8,000 sq ft could have faced a parking requirement of 40-80 spaces (1 per 100-200 sq ft of dining area) -- at $5,000-$15,000 per surface space and $20,000-$50,000 per structured space. The 2025 code eliminates this requirement in Urban Character Areas.</w:t>
      </w:r>
    </w:p>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A5C2A"/>
              <w:bottom w:val="single" w:sz="6" w:color="1A5C2A"/>
              <w:left w:val="thick" w:sz="18" w:color="1A5C2A"/>
              <w:right w:val="none" w:sz="0" w:color="FFFFFF"/>
            </w:tcBorders>
            <w:shd w:fill="E8F4EE" w:val="clear"/>
            <w:tcMar>
              <w:top w:type="dxa" w:w="100"/>
              <w:bottom w:type="dxa" w:w="100"/>
              <w:left w:type="dxa" w:w="200"/>
              <w:right w:type="dxa" w:w="120"/>
            </w:tcMar>
          </w:tcPr>
          <w:p>
            <w:pPr>
              <w:spacing w:before="0" w:after="40"/>
            </w:pPr>
            <w:r>
              <w:rPr>
                <w:rFonts w:ascii="Arial" w:hAnsi="Arial"/>
                <w:b/>
                <w:color w:val="1A5C2A"/>
                <w:sz w:val="22"/>
                <w:szCs w:val="22"/>
              </w:rPr>
              <w:t>Parking Cost Savings -- Urban Character Area Hub Site</w:t>
            </w:r>
          </w:p>
          <w:p>
            <w:pPr>
              <w:spacing w:before="0" w:after="0"/>
            </w:pPr>
            <w:r>
              <w:rPr>
                <w:rFonts w:ascii="Arial" w:hAnsi="Arial"/>
                <w:color w:val="1A1A1A"/>
                <w:sz w:val="21"/>
                <w:szCs w:val="21"/>
              </w:rPr>
              <w:t xml:space="preserve">If the Hub site is in a downtown Urban Character Area, parking minimums are eliminated under Realize Las Cruces. A 40-space surface lot requirement would have cost $200,000-$600,000. Elimination of this requirement directly reduces buildout cost and can free that budget for kitchen infrastructure, cider bar equipment, or working capital reserves. Confirm Urban Character designation for your specific parcel using the 2025 Zoning Code ArcGIS layer before finalizing buildout cost projections.</w:t>
            </w:r>
          </w:p>
        </w:tc>
      </w:tr>
    </w:tbl>
    <w:p>
      <w:pPr>
        <w:spacing w:before="60" w:after="80"/>
      </w:pPr>
      <w:r>
        <w:rPr>
          <w:rFonts w:ascii="Arial" w:hAnsi="Arial"/>
          <w:color w:val="1A1A1A"/>
          <w:sz w:val="22"/>
          <w:szCs w:val="22"/>
        </w:rPr>
        <w:t xml:space="preserve"/>
      </w:r>
    </w:p>
    <w:p>
      <w:pPr>
        <w:spacing w:before="60" w:after="80"/>
      </w:pPr>
      <w:r>
        <w:rPr>
          <w:rFonts w:ascii="Arial" w:hAnsi="Arial"/>
          <w:i/>
          <w:color w:val="555555"/>
          <w:sz w:val="20"/>
          <w:szCs w:val="20"/>
        </w:rPr>
        <w:t xml:space="preserve">Note: Even without a parking minimum, providing some customer parking remains a practical necessity in Las Cruces given the city's car-dependent transportation patterns. The goal is to negotiate shared parking agreements with adjacent properties or nearby public lots rather than building dedicated parking into the Hub buildout cost. The Realize Las Cruces code also allows up to 50% of any remaining parking requirements to be substituted with bicycle parking -- further reducing the surface parking footprint if any minimum remains applicable.</w:t>
      </w:r>
    </w:p>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O.4 Multi-Zoned Parcels (MZP) -- What to Watch For</w:t>
      </w:r>
    </w:p>
    <w:p>
      <w:pPr>
        <w:spacing w:before="60" w:after="80"/>
      </w:pPr>
      <w:r>
        <w:rPr>
          <w:rFonts w:ascii="Arial" w:hAnsi="Arial"/>
          <w:color w:val="1A1A1A"/>
          <w:sz w:val="22"/>
          <w:szCs w:val="22"/>
        </w:rPr>
        <w:t xml:space="preserve">Some parcels in Las Cruces are classified as Multi-Zoned Parcels (MZP), meaning they contain multiple zoning districts. The 2025 Zoning Code ArcGIS group includes a Zoning District Underlay layer specifically for these parcels, showing each zoning district within the parcel boundary. Character, mixed-use, and town center designations typically remain consistent across the parcel even if zoning districts differ.</w:t>
      </w:r>
    </w:p>
    <w:p>
      <w:pPr>
        <w:spacing w:before="60" w:after="80"/>
      </w:pPr>
      <w:r>
        <w:rPr>
          <w:rFonts w:ascii="Arial" w:hAnsi="Arial"/>
          <w:color w:val="1A1A1A"/>
          <w:sz w:val="22"/>
          <w:szCs w:val="22"/>
        </w:rPr>
        <w:t xml:space="preserve"/>
      </w:r>
    </w:p>
    <w:p>
      <w:pPr>
        <w:spacing w:before="60" w:after="80"/>
      </w:pPr>
      <w:r>
        <w:rPr>
          <w:rFonts w:ascii="Arial" w:hAnsi="Arial"/>
          <w:i/>
          <w:color w:val="555555"/>
          <w:sz w:val="20"/>
          <w:szCs w:val="20"/>
        </w:rPr>
        <w:t xml:space="preserve">For site due diligence: if a target parcel shows as MZP in the 2025 Zoning Code layer, review the Zoning District Underlay to confirm which zoning district covers the portion of the parcel where the Hub would be located. A parcel that is partly Commercial Retail and partly NH-2, for example, may have very different use permissions depending on where the Hub's footprint falls.</w:t>
      </w:r>
    </w:p>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O.5 Site Search Protocol -- Using the ArcGIS Layers</w:t>
      </w:r>
    </w:p>
    <w:p>
      <w:pPr>
        <w:spacing w:before="60" w:after="80"/>
      </w:pPr>
      <w:r>
        <w:rPr>
          <w:rFonts w:ascii="Arial" w:hAnsi="Arial"/>
          <w:color w:val="1A1A1A"/>
          <w:sz w:val="22"/>
          <w:szCs w:val="22"/>
        </w:rPr>
        <w:t xml:space="preserve">The City's 2025 Zoning Code ArcGIS group layer is the authoritative tool for site selection due diligence. The following protocol should be used for every candidate site before any lease negotiation or architectural planning begins:</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600"/>
        <w:gridCol w:w="3000"/>
        <w:gridCol w:w="3000"/>
        <w:gridCol w:w="2760"/>
      </w:tblGrid>
      <w:tr>
        <w:tc>
          <w:tcPr>
            <w:tcW w:type="dxa" w:w="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Step</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Action</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ArcGIS Layer</w:t>
            </w:r>
          </w:p>
        </w:tc>
        <w:tc>
          <w:tcPr>
            <w:tcW w:type="dxa" w:w="2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to Confirm</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1</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parcel character designation</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Overlays layer -- Urban / Suburban / Rural character boundaries</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it Urban Character? If yes, parking minimums are eliminated.</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2</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base zoning district</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2025 Zoning Code layer -- primary layer showing zoning district per parcel</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it Commercial Retail, NH-3, Mixed-Use, or Town Center? All are viable. NH-1 and NH-2 require further verification.</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3</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Mixed-Use Overlay applicability</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Overlays layer -- mixed-use overlay, town center, neighborhood center designations</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Does a mixed-use overlay or town center designation apply? If yes, may unlock additional commercial permissions and grant eligibility.</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4</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if MZP (Multi-Zoned Parcel)</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2025 Zoning Code layer -- if MZP, check Zoning District Underlay for sub-parcel zoning</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Which zoning district covers the Hub's intended footprint within the parcel?</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5</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Check parcel size and ownership</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Owner Parcel layer -- most current parcel data from County Assessor</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the parcel large enough for 8,000 sq ft + outdoor seating + service access? Who owns it?</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6</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Contact City for vacancy data</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No public vacancy map currently available -- contact City NAT team</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Is the building or site currently vacant or available? NAT team is developing the vacancy map.</w:t>
            </w:r>
          </w:p>
        </w:tc>
      </w:tr>
      <w:tr>
        <w:tc>
          <w:tcPr>
            <w:tcW w:type="dxa" w:w="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7</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Verify with City Planner</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In-person meeting with City of Las Cruces Community Development (575-541-2167)</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Confirm food hall / cider bar use classification, any special use permit requirements, and fee structure under the new code.</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O.6 Implications for the MRA Site Option (Supplement K/L)</w:t>
      </w:r>
    </w:p>
    <w:p>
      <w:pPr>
        <w:spacing w:before="60" w:after="80"/>
      </w:pPr>
      <w:r>
        <w:rPr>
          <w:rFonts w:ascii="Arial" w:hAnsi="Arial"/>
          <w:color w:val="1A1A1A"/>
          <w:sz w:val="22"/>
          <w:szCs w:val="22"/>
        </w:rPr>
        <w:t xml:space="preserve">The West Picacho and Motel Boulevard MRA (analyzed in Supplements K and L) gains additional significance under the Realize Las Cruces code. MRAs are explicitly encouraged for redevelopment under the new code, with mixed-use corridors identified as priority locations. If the W. Picacho MRA site parcels are designated as NH-3, Mixed-Use, or Commercial Retail in the 2025 Zoning Code layer, the Hub would have clear permitting pathways without needing any rezoning. The MRA's TIDD and other incentive tools are also explicitly linked to the new code's redevelopment priorities.</w:t>
      </w:r>
    </w:p>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92600A"/>
              <w:bottom w:val="single" w:sz="6" w:color="92600A"/>
              <w:left w:val="thick" w:sz="18" w:color="92600A"/>
              <w:right w:val="none" w:sz="0" w:color="FFFFFF"/>
            </w:tcBorders>
            <w:shd w:fill="FFF8E8" w:val="clear"/>
            <w:tcMar>
              <w:top w:type="dxa" w:w="100"/>
              <w:bottom w:type="dxa" w:w="100"/>
              <w:left w:type="dxa" w:w="200"/>
              <w:right w:type="dxa" w:w="120"/>
            </w:tcMar>
          </w:tcPr>
          <w:p>
            <w:pPr>
              <w:spacing w:before="0" w:after="40"/>
            </w:pPr>
            <w:r>
              <w:rPr>
                <w:rFonts w:ascii="Arial" w:hAnsi="Arial"/>
                <w:b/>
                <w:color w:val="92600A"/>
                <w:sz w:val="22"/>
                <w:szCs w:val="22"/>
              </w:rPr>
              <w:t>Action Item -- MRA Zoning Verification</w:t>
            </w:r>
          </w:p>
          <w:p>
            <w:pPr>
              <w:spacing w:before="0" w:after="0"/>
            </w:pPr>
            <w:r>
              <w:rPr>
                <w:rFonts w:ascii="Arial" w:hAnsi="Arial"/>
                <w:color w:val="1A1A1A"/>
                <w:sz w:val="21"/>
                <w:szCs w:val="21"/>
              </w:rPr>
              <w:t xml:space="preserve">Before finalizing any site decision in the W. Picacho MRA: open the 2025 Zoning Code ArcGIS layer and check the specific parcels identified in the Shoto hub area (referenced in Supplement K) for their current zoning district and character designation. The character area (Urban vs. Suburban) will determine whether parking minimums apply. The zoning district will determine the permitting pathway. Do this before any lease discussion with the MRA property owner.</w:t>
            </w:r>
          </w:p>
        </w:tc>
      </w:tr>
    </w:tbl>
    <w:p>
      <w:pPr>
        <w:spacing w:before="60" w:after="80"/>
      </w:pPr>
      <w:r>
        <w:rPr>
          <w:rFonts w:ascii="Arial" w:hAnsi="Arial"/>
          <w:color w:val="1A1A1A"/>
          <w:sz w:val="22"/>
          <w:szCs w:val="22"/>
        </w:rPr>
        <w:t xml:space="preserve"/>
      </w:r>
    </w:p>
    <w:p>
      <w:pPr>
        <w:spacing w:before="100" w:after="60"/>
      </w:pPr>
      <w:r>
        <w:rPr>
          <w:rFonts w:ascii="Arial" w:hAnsi="Arial"/>
          <w:i/>
          <w:color w:val="555555"/>
          <w:sz w:val="20"/>
          <w:szCs w:val="20"/>
        </w:rPr>
        <w:t xml:space="preserve">Source: Realize Las Cruces character-based zoning code (passed February 2025; upheld May 2025); City of Las Cruces 2025 Zoning Code ArcGIS public group layer (las-cruces.maps.arcgis.com, Item ID d8afcd53b511453e91e8b09aa8221910); Las Cruces Community Development Department (lascruces.gov/property/remodeling-and-construction/las-cruces-land-use-development-and-preservation/); KRWG reporting on Realize Las Cruces (April 2025); Reimagining Albuquerque analysis of Realize Las Cruces (May 2025).</w:t>
      </w:r>
    </w:p>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Supplement P: MRA Plan Analysis — West Picacho/Motel (Nov 2025) and El Paseo/S. Solano (Apr 2026)</w:t>
      </w:r>
    </w:p>
    <w:p>
      <w:pPr>
        <w:spacing w:after="80" w:before="60"/>
      </w:pPr>
      <w:r>
        <w:rPr>
          <w:rFonts w:ascii="Arial" w:cs="Arial" w:eastAsia="Arial" w:hAnsi="Arial"/>
          <w:color w:val="1A1A1A"/>
          <w:sz w:val="22"/>
          <w:szCs w:val="22"/>
        </w:rPr>
        <w:t xml:space="preserve">Two Metropolitan Redevelopment Area plans have been adopted by the City of Las Cruces that directly affect the Hub's site strategy, grant positioning, and community mandate. The West Picacho and Motel MRA Plan (adopted November 2025; GRT increment financing approved March 2026) explicitly names a food hall, eatertainment district, and commercial kitchen as named community development priorities. The El Paseo and South Solano MRA Plan (adopted April 16, 2026) cites the Farmington, NM food hub/commercial kitchen as a successful MRA case study and calls for a business incubator along its corridors. Together, these two documents constitute the strongest available evidence that the City of Las Cruces has formally endorsed the Hub's model in two separate planning documents — before the Hub has even opened its doors.</w:t>
      </w:r>
    </w:p>
    <w:p>
      <w:pPr>
        <w:spacing w:after="80" w:before="80"/>
      </w:pPr>
      <w:r>
        <w:t xml:space="preserve"/>
      </w:r>
    </w:p>
    <w:p>
      <w:pPr>
        <w:pStyle w:val="Heading2"/>
        <w:spacing w:after="100" w:before="320"/>
      </w:pPr>
      <w:r>
        <w:rPr>
          <w:rFonts w:ascii="Arial" w:cs="Arial" w:eastAsia="Arial" w:hAnsi="Arial"/>
          <w:b/>
          <w:bCs/>
          <w:color w:val="2563A8"/>
          <w:sz w:val="28"/>
          <w:szCs w:val="28"/>
        </w:rPr>
        <w:t xml:space="preserve">P.1 West Picacho and Motel MRA Plan — Direct Site and Policy Alignment</w:t>
      </w:r>
    </w:p>
    <w:p>
      <w:pPr>
        <w:spacing w:after="80" w:before="60"/>
      </w:pPr>
      <w:r>
        <w:rPr>
          <w:rFonts w:ascii="Arial" w:cs="Arial" w:eastAsia="Arial" w:hAnsi="Arial"/>
          <w:color w:val="1A1A1A"/>
          <w:sz w:val="22"/>
          <w:szCs w:val="22"/>
        </w:rPr>
        <w:t xml:space="preserve">The West Picacho and Motel MRA covers approximately the corridor from the BNSF Railroad tracks west along West Picacho Avenue to Valley Drive, including Motel Boulevard. It was created in March 2023 when City Council unanimously designated two MRA areas. The plan was produced by Stantec Consulting and adopted November 2025.</w:t>
      </w:r>
    </w:p>
    <w:p>
      <w:pPr>
        <w:spacing w:after="80" w:before="80"/>
      </w:pPr>
      <w:r>
        <w:t xml:space="preserve"/>
      </w:r>
    </w:p>
    <w:p>
      <w:pPr>
        <w:spacing w:after="80" w:before="220"/>
      </w:pPr>
      <w:r>
        <w:rPr>
          <w:rFonts w:ascii="Arial" w:cs="Arial" w:eastAsia="Arial" w:hAnsi="Arial"/>
          <w:b/>
          <w:bCs/>
          <w:color w:val="14746F"/>
          <w:sz w:val="24"/>
          <w:szCs w:val="24"/>
        </w:rPr>
        <w:t xml:space="preserve">P.1.1 — The Food Hall and Eatertainment District Are Named in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6"/>
              <w:left w:val="thick" w:color="1B3A5C" w:sz="18"/>
              <w:bottom w:val="single" w:color="1B3A5C" w:sz="6"/>
              <w:right w:val="none" w:color="FFFFFF" w:sz="0"/>
            </w:tcBorders>
            <w:shd w:fill="EEF2F7" w:val="clear"/>
            <w:tcMar>
              <w:top w:type="dxa" w:w="100"/>
              <w:left w:type="dxa" w:w="200"/>
              <w:bottom w:type="dxa" w:w="100"/>
              <w:right w:type="dxa" w:w="120"/>
            </w:tcMar>
          </w:tcPr>
          <w:p>
            <w:pPr>
              <w:spacing w:after="40" w:before="0"/>
            </w:pPr>
            <w:r>
              <w:rPr>
                <w:rFonts w:ascii="Arial" w:cs="Arial" w:eastAsia="Arial" w:hAnsi="Arial"/>
                <w:b/>
                <w:bCs/>
                <w:color w:val="1B3A5C"/>
                <w:sz w:val="22"/>
                <w:szCs w:val="22"/>
              </w:rPr>
              <w:t xml:space="preserve">Strategy 3.4 — Direct Quote from the Adopted MRA Plan</w:t>
            </w:r>
          </w:p>
          <w:p>
            <w:pPr>
              <w:spacing w:after="0" w:before="0"/>
            </w:pPr>
            <w:r>
              <w:rPr>
                <w:rFonts w:ascii="Arial" w:cs="Arial" w:eastAsia="Arial" w:hAnsi="Arial"/>
                <w:color w:val="1A1A1A"/>
                <w:sz w:val="21"/>
                <w:szCs w:val="21"/>
              </w:rPr>
              <w:t xml:space="preserve">"Work with owner/developer to create an 'eatertainment' district in the northwest corner of the Tashiro catalyst site... Investigate potential for a commercial kitchen in the eatertainment district to complement small-scale start-ups/food trucks." Strategy 3.5 adds: "A shared commercial kitchen can help launch home businesses to food trucks to restaurants or catering." Community Big Ideas section: residents explicitly named 'a food hall' as a desired use for the Tashiro Drive vacant parcel. These are not general policy statements — they are named project recommendations in an adopted plan.</w:t>
            </w:r>
          </w:p>
        </w:tc>
      </w:tr>
    </w:tbl>
    <w:p>
      <w:pPr>
        <w:spacing w:after="80" w:before="80"/>
      </w:pPr>
      <w:r>
        <w:t xml:space="preserve"/>
      </w:r>
    </w:p>
    <w:p>
      <w:pPr>
        <w:spacing w:after="80" w:before="60"/>
      </w:pPr>
      <w:r>
        <w:rPr>
          <w:rFonts w:ascii="Arial" w:cs="Arial" w:eastAsia="Arial" w:hAnsi="Arial"/>
          <w:color w:val="1A1A1A"/>
          <w:sz w:val="22"/>
          <w:szCs w:val="22"/>
        </w:rPr>
        <w:t xml:space="preserve">The Tashiro Mixed-Use Hub (Catalyst Site 1) is approximately 42 acres at the southeast corner of Tashiro and Valley Drives, privately owned. The plan envisions low-to-medium density housing adjacent to existing single-family blocks, with commercial/retail along Valley Drive, and an eatertainment node at the site's northwest corner — adjacent to the Field of Dreams sports facility. The plan notes the city expects to provide development incentives and active recruitment to attract desired uses.</w:t>
      </w:r>
    </w:p>
    <w:p>
      <w:pPr>
        <w:spacing w:after="80" w:before="80"/>
      </w:pPr>
      <w:r>
        <w:t xml:space="preserve"/>
      </w:r>
    </w:p>
    <w:p>
      <w:pPr>
        <w:spacing w:after="80" w:before="220"/>
      </w:pPr>
      <w:r>
        <w:rPr>
          <w:rFonts w:ascii="Arial" w:cs="Arial" w:eastAsia="Arial" w:hAnsi="Arial"/>
          <w:b/>
          <w:bCs/>
          <w:color w:val="14746F"/>
          <w:sz w:val="24"/>
          <w:szCs w:val="24"/>
        </w:rPr>
        <w:t xml:space="preserve">P.1.2 — Community Survey Data Supporting Hub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Survey Finding</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Data</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Hub Application</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Restaurants as most-needed business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51.21% of 703 respondents identified restaurants as the #1 most-needed business type in the W. Picacho area</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Hub's Signature Restaurant, Mediterranean, Southern BBQ, and plant-forward concepts directly address the documented demand for food variety that the W. Picacho community currently lacks</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Residents leave for services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~60% of residents regularly travel outside the area for shopping and amenities</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This is the variety-seeking customer the Hub is designed for -- and the behavior the Hub stops by keeping dining dollars in the community</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Support small businesses #1 funding priority</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'Support small and local businesses' ranked #1 in the facilitated funding priority activity</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12+ businesses launched Year 1 and incubator pipeline directly serve this priority</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Vibrancy as top community desire</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Residents said they want 'local restaurants, small businesses, walkability' -- with vibrancy cited as a key theme</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programming (food festivals, live music, Loteria nights, cider bar events) directly creates the vibrancy the community says it wants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Median household income $26,139</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MRA median income is nearly half the citywide median ($53,987); unemployment 20.7% vs. 6.2% citywide</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graduated rent ($2,000/month for incubator stalls), 70% minority entrepreneur commitment, and workforce training pipeline are ideally calibrated for this demographic -- and make the Hub a strong candidate for NMFA, HFFF, and EDA distressed-area grant categories</w:t>
            </w:r>
          </w:p>
        </w:tc>
      </w:tr>
    </w:tbl>
    <w:p>
      <w:pPr>
        <w:spacing w:after="80" w:before="80"/>
      </w:pPr>
      <w:r>
        <w:t xml:space="preserve"/>
      </w:r>
    </w:p>
    <w:p>
      <w:pPr>
        <w:spacing w:after="80" w:before="220"/>
      </w:pPr>
      <w:r>
        <w:rPr>
          <w:rFonts w:ascii="Arial" w:cs="Arial" w:eastAsia="Arial" w:hAnsi="Arial"/>
          <w:b/>
          <w:bCs/>
          <w:color w:val="14746F"/>
          <w:sz w:val="24"/>
          <w:szCs w:val="24"/>
        </w:rPr>
        <w:t xml:space="preserve">P.1.3 — MRA-Specific Funding Sources (W. Picacho Site)</w:t>
      </w:r>
    </w:p>
    <w:p>
      <w:pPr>
        <w:spacing w:after="80" w:before="60"/>
      </w:pPr>
      <w:r>
        <w:rPr>
          <w:rFonts w:ascii="Arial" w:cs="Arial" w:eastAsia="Arial" w:hAnsi="Arial"/>
          <w:color w:val="1A1A1A"/>
          <w:sz w:val="22"/>
          <w:szCs w:val="22"/>
        </w:rPr>
        <w:t xml:space="preserve">A W. Picacho MRA site unlocks a different set of grant mechanisms than a downtown site. The following are directly applicable based on the MRA plan's own funding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600"/>
        <w:gridCol w:w="27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Funding Source</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Amount</w:t>
            </w:r>
          </w:p>
        </w:tc>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Eligibility Basis</w:t>
            </w:r>
          </w:p>
        </w:tc>
        <w:tc>
          <w:tcPr>
            <w:tcW w:type="dxa" w:w="2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Action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EDA Public Works &amp; Economic Adjustment Assistance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Up to $3,000,000 (50% of project costs)</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Economically distressed areas; business incubators explicitly listed as eligible use; must align with regional CEDS document; W. Picacho MRA unemployment 20.7% qualifies as distressed</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Contact EDA Rep Ali DeMersseman (720-237-6079; ademersseman@eda.gov) in Phase 1; confirm CEDS alignment with MVEDA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Community Foundation of Southern NM -- Economic Development Retention &amp; Revitalization Grant</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Rolling; supports new business formation</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New businesses and entrepreneurs; fund small businesses unable to open during pandemic period or expanding staff</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Contact: (575) 521-4794 / info@cfsnm.org; rolling application; strong fit for first-time food entrepreneur incubator stall candidates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 Destination Forward Grant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Up to $500,000; no match required</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Tourism infrastructure; 'food trails or other related facilities' and 'agritourism farms, food trails' explicitly listed as eligible</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Hub's cider bar + NM food entrepreneurship showcase positions as tourism infrastructure; apply through NM Tourism Department; FY2027 cycle opens spring 2026</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 Brownfield Grants (EPA)</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$500K-$4M</w:t>
            </w:r>
          </w:p>
        </w:tc>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Any brownfield site contamination assessment or cleanup; W. Picacho has industrial land history</w:t>
            </w:r>
          </w:p>
        </w:tc>
        <w:tc>
          <w:tcPr>
            <w:tcW w:type="dxa" w:w="2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If Tashiro or other W. Picacho target site has environmental history, pursue brownfield assessment grant before site acquisition; contact EPA Region 6: Althea Foster (214) 665-2268</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MRA Facade/Storefront Improvement Program</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Up to $25,000 matching (like Renovate Main Street)</w:t>
            </w:r>
          </w:p>
        </w:tc>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MRA-designated corridor businesses; storefront improvements</w:t>
            </w:r>
          </w:p>
        </w:tc>
        <w:tc>
          <w:tcPr>
            <w:tcW w:type="dxa" w:w="2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Once Hub is operating in the MRA, apply for facade and signage improvement matching funds through the MRA's storefront program</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P.2 El Paseo and South Solano MRA Plan — Policy Support and Funding Tools</w:t>
      </w:r>
    </w:p>
    <w:p>
      <w:pPr>
        <w:spacing w:after="80" w:before="60"/>
      </w:pPr>
      <w:r>
        <w:rPr>
          <w:rFonts w:ascii="Arial" w:cs="Arial" w:eastAsia="Arial" w:hAnsi="Arial"/>
          <w:color w:val="1A1A1A"/>
          <w:sz w:val="22"/>
          <w:szCs w:val="22"/>
        </w:rPr>
        <w:t xml:space="preserve">The El Paseo and South Solano MRA Plan (adopted April 16, 2026) covers approximately 1,200 acres between downtown Las Cruces and NMSU, centered on El Paseo Road and South Solano Drive. While the Hub is not currently targeting this corridor as a primary site, the plan contains three elements of direct relevance: a food incubator case study, an explicit business incubator recommendation, and the most detailed explanation of MRA financing tools available for any Las Cruces site.</w:t>
      </w:r>
    </w:p>
    <w:p>
      <w:pPr>
        <w:spacing w:after="80" w:before="80"/>
      </w:pPr>
      <w:r>
        <w:t xml:space="preserve"/>
      </w:r>
    </w:p>
    <w:p>
      <w:pPr>
        <w:spacing w:after="80" w:before="220"/>
      </w:pPr>
      <w:r>
        <w:rPr>
          <w:rFonts w:ascii="Arial" w:cs="Arial" w:eastAsia="Arial" w:hAnsi="Arial"/>
          <w:b/>
          <w:bCs/>
          <w:color w:val="14746F"/>
          <w:sz w:val="24"/>
          <w:szCs w:val="24"/>
        </w:rPr>
        <w:t xml:space="preserve">P.2.1 — Farmington Food Hub: NM MRA Precedent Now Cited by Las Cruces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EE" w:val="clear"/>
            <w:tcMar>
              <w:top w:type="dxa" w:w="100"/>
              <w:left w:type="dxa" w:w="200"/>
              <w:bottom w:type="dxa" w:w="100"/>
              <w:right w:type="dxa" w:w="120"/>
            </w:tcMar>
          </w:tcPr>
          <w:p>
            <w:pPr>
              <w:spacing w:after="40" w:before="0"/>
            </w:pPr>
            <w:r>
              <w:rPr>
                <w:rFonts w:ascii="Arial" w:cs="Arial" w:eastAsia="Arial" w:hAnsi="Arial"/>
                <w:b/>
                <w:bCs/>
                <w:color w:val="1A5C2A"/>
                <w:sz w:val="22"/>
                <w:szCs w:val="22"/>
              </w:rPr>
              <w:t xml:space="preserve">The Farmington Harvest Food Hub Case Study — Cited in Las Cruces' Own MRA Plan</w:t>
            </w:r>
          </w:p>
          <w:p>
            <w:pPr>
              <w:spacing w:after="0" w:before="0"/>
            </w:pPr>
            <w:r>
              <w:rPr>
                <w:rFonts w:ascii="Arial" w:cs="Arial" w:eastAsia="Arial" w:hAnsi="Arial"/>
                <w:color w:val="1A1A1A"/>
                <w:sz w:val="21"/>
                <w:szCs w:val="21"/>
              </w:rPr>
              <w:t xml:space="preserve">The El Paseo MRA plan (April 2026) includes Farmington, NM's Harvest Food Hub and Kitchen at San Juan College as a successful case study for MRA-supported food entrepreneurship infrastructure. Key details: the project provided a commercial kitchen for entrepreneurs and a local food distribution center; the City of Farmington's MRA Plan identified the need and provided support for land acquisition and funding; NMSU's Local Food, Local Places grant covered operating costs for the first five years of programming and facility needs. This is the second NM MRA planning document in Las Cruces to identify food hub/commercial kitchen infrastructure as a city-endorsed development model. The Hub's commissary kitchen component is directly aligned with this precedent.</w:t>
            </w:r>
          </w:p>
        </w:tc>
      </w:tr>
    </w:tbl>
    <w:p>
      <w:pPr>
        <w:spacing w:after="80" w:before="80"/>
      </w:pPr>
      <w:r>
        <w:t xml:space="preserve"/>
      </w:r>
    </w:p>
    <w:p>
      <w:pPr>
        <w:spacing w:after="80" w:before="60"/>
      </w:pPr>
      <w:r>
        <w:rPr>
          <w:rFonts w:ascii="Arial" w:cs="Arial" w:eastAsia="Arial" w:hAnsi="Arial"/>
          <w:color w:val="1A1A1A"/>
          <w:sz w:val="22"/>
          <w:szCs w:val="22"/>
        </w:rPr>
        <w:t xml:space="preserve">Application to the Hub: the Farmington model used NMSU as a primary program and funding partner. The Hub's commissary kitchen, combined with NMSU's existing food entrepreneurship curriculum at the Arrowhead Center, creates the same partnership structure. The USDA Local Food, Local Places grant that funded Farmington's operations for five years is a directly applicable funding mechanism the Hub should pursue in Phase 1.</w:t>
      </w:r>
    </w:p>
    <w:p>
      <w:pPr>
        <w:spacing w:after="80" w:before="80"/>
      </w:pPr>
      <w:r>
        <w:t xml:space="preserve"/>
      </w:r>
    </w:p>
    <w:p>
      <w:pPr>
        <w:spacing w:after="80" w:before="220"/>
      </w:pPr>
      <w:r>
        <w:rPr>
          <w:rFonts w:ascii="Arial" w:cs="Arial" w:eastAsia="Arial" w:hAnsi="Arial"/>
          <w:b/>
          <w:bCs/>
          <w:color w:val="14746F"/>
          <w:sz w:val="24"/>
          <w:szCs w:val="24"/>
        </w:rPr>
        <w:t xml:space="preserve">P.2.2 — Business Incubator Explicitly Called For in El Paseo MRA Plan</w:t>
      </w:r>
    </w:p>
    <w:p>
      <w:pPr>
        <w:spacing w:after="80" w:before="60"/>
      </w:pPr>
      <w:r>
        <w:rPr>
          <w:rFonts w:ascii="Arial" w:cs="Arial" w:eastAsia="Arial" w:hAnsi="Arial"/>
          <w:color w:val="1A1A1A"/>
          <w:sz w:val="22"/>
          <w:szCs w:val="22"/>
        </w:rPr>
        <w:t xml:space="preserve">The El Paseo MRA plan states directly: 'There is potential for a business incubator to serve the surrounding commercial areas and support new entrepreneurs and employment support for residents looking for work in a newly revitalized area.' It also recommends 'supporting potential entrepreneurs and businesses looking to relocate or expand their operation.' While the El Paseo corridor is not the primary Hub target, this language establishes that the Hub's model is city-endorsed across multiple MRA planning documents simultaneously -- a strong multi-document policy alignment argument for NMFA and HFFF grant applications.</w:t>
      </w:r>
    </w:p>
    <w:p>
      <w:pPr>
        <w:spacing w:after="80" w:before="80"/>
      </w:pPr>
      <w:r>
        <w:t xml:space="preserve"/>
      </w:r>
    </w:p>
    <w:p>
      <w:pPr>
        <w:spacing w:after="80" w:before="220"/>
      </w:pPr>
      <w:r>
        <w:rPr>
          <w:rFonts w:ascii="Arial" w:cs="Arial" w:eastAsia="Arial" w:hAnsi="Arial"/>
          <w:b/>
          <w:bCs/>
          <w:color w:val="14746F"/>
          <w:sz w:val="24"/>
          <w:szCs w:val="24"/>
        </w:rPr>
        <w:t xml:space="preserve">P.2.3 — GRIP, DreamSpring, and Additional Financing Tools</w:t>
      </w:r>
    </w:p>
    <w:p>
      <w:pPr>
        <w:spacing w:after="80" w:before="60"/>
      </w:pPr>
      <w:r>
        <w:rPr>
          <w:rFonts w:ascii="Arial" w:cs="Arial" w:eastAsia="Arial" w:hAnsi="Arial"/>
          <w:color w:val="1A1A1A"/>
          <w:sz w:val="22"/>
          <w:szCs w:val="22"/>
        </w:rPr>
        <w:t xml:space="preserve">The El Paseo MRA plan provides the most detailed description of GRIP (Gross Receipts Investment Program) available in any Las Cruces planning document: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Tool</w:t>
            </w:r>
          </w:p>
        </w:tc>
        <w:tc>
          <w:tcPr>
            <w:tcW w:type="dxa" w:w="3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Description from El Paseo MRA Plan</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Hub Application</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GRIP (Gross Receipts Investment Program)</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 ordinance allowing property owners who develop their property to be reimbursed up to 50% of the owner's gross receipt taxes for infrastructure development costs (water, sewer, roadway improvements). Both new retail and certain targeted commercial businesses are eligible.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Currently not in Hub's capital stack. Evaluate with City Economic Development in Phase 1 -- a Hub generating $1M+ GRT in Year 1 could see $500K+ in infrastructure cost reimbursement over time. Particularly valuable for MRA sites with infrastructure improvement needs.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DreamSpring New Mexico</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Small business and micro-loans $1,000-$2,000,000; mission is 'to increase access to business credit, make loans, and provide training and support that enables entrepreneurs to realize their dreams'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Applicable for individual incubator vendors who need startup capital before signing a stall license; Hub can refer vendor pipeline candidates to DreamSpring as a pre-qualification resource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Loan Fund</w:t>
            </w:r>
          </w:p>
        </w:tc>
        <w:tc>
          <w:tcPr>
            <w:tcW w:type="dxa" w:w="3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CDC/504 loans and equipment financing for non-profits and certified development companies; real estate, equipment, building renovations, operating capital</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Could support Hub's commissary kitchen equipment financing as an alternative to full SBA 7(a) coverage; evaluate in Phase 1 as part of SBA fallback capital plan (Supplement C)</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TIDD Case Study</w:t>
            </w:r>
          </w:p>
        </w:tc>
        <w:tc>
          <w:tcPr>
            <w:tcW w:type="dxa" w:w="3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TIDD established 2009; funded through GRT + property tax increment; generated more revenue than projected; Renovate Main Street program offers up to $25,000 matching grants for retail/restaurant/entertainment businesses</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Confirms Renovate Main Street matching grant is an active, proven mechanism -- not just a listed tool. Apply for $25,000 facade/signage match once Hub has a downtown site under lease</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P.3 Two-Site Strategy: Downtown vs. W. Picacho — Updated Comparison</w:t>
      </w:r>
    </w:p>
    <w:p>
      <w:pPr>
        <w:spacing w:after="80" w:before="60"/>
      </w:pPr>
      <w:r>
        <w:rPr>
          <w:rFonts w:ascii="Arial" w:cs="Arial" w:eastAsia="Arial" w:hAnsi="Arial"/>
          <w:color w:val="1A1A1A"/>
          <w:sz w:val="22"/>
          <w:szCs w:val="22"/>
        </w:rPr>
        <w:t xml:space="preserve">The two MRA plans, read together with Supplement O (2025 Zoning Code), support a two-track site evaluation that should run simultaneously through Phase 1. The table below summarizes the updated comparison:</w:t>
      </w:r>
    </w:p>
    <w:p>
      <w:pPr>
        <w:spacing w:after="80" w:before="80"/>
      </w:pPr>
      <w:r>
        <w:t xml:space="preserve"/>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2960"/>
        <w:gridCol w:w="7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Factor</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Downtown Site</w:t>
            </w:r>
          </w:p>
        </w:tc>
        <w:tc>
          <w:tcPr>
            <w:tcW w:type="dxa" w:w="29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W. Picacho MRA (Tashiro)</w:t>
            </w:r>
          </w:p>
        </w:tc>
        <w:tc>
          <w:tcPr>
            <w:tcW w:type="dxa" w:w="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Advantage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Policy endorsement</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Elevate Las Cruces; East Lohman Plan; Downtown TIDD case study</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West Picacho MRA Plan, Strategy 3.4/3.5 -- food hall and eatertainment district named explicitly</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Tie -- both have explicit city policy support</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Zoning character</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Urban Character Area -- parking minimums eliminated</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Suburban Character Area -- parking minimums apply (but reduced)</w:t>
            </w:r>
          </w:p>
        </w:tc>
        <w:tc>
          <w:tcPr>
            <w:tcW w:type="dxa" w:w="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parking cost savings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Primary grant categories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NMFA, HFFF, DLCP Renovate Main Street, EPE/MVEDA, TIDD</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EDA Public Works ($3M), Community Foundation SNM, Destination Forward, Brownfield grants, MRA-specific incentives</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W. Picacho for total grant pool size; downtown for DLCP/TIDD</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Target customer proximity</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foot traffic; tourism; NMSU 1.5 miles</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Adjacent to Field of Dreams; West Side residential community; 300,000+ El Paso northern communities within 45 min</w:t>
            </w:r>
          </w:p>
        </w:tc>
        <w:tc>
          <w:tcPr>
            <w:tcW w:type="dxa" w:w="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walkable tourism; W. Picacho for destination model</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Site readiness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 prioritizes downtown; existing infrastructure; IDO permitting incentives</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42-acre site; city seeking active developer; MRA incentive package; may need infrastructure investment</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faster permitting; W. Picacho for city partnership and larger site</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Demographic fit</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Citywide mixed demographics; NMSU student base</w:t>
            </w:r>
          </w:p>
        </w:tc>
        <w:tc>
          <w:tcPr>
            <w:tcW w:type="dxa" w:w="29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Median HH income $26,139; 20.7% unemployment -- Hub's equity mission most impactful here</w:t>
            </w:r>
          </w:p>
        </w:tc>
        <w:tc>
          <w:tcPr>
            <w:tcW w:type="dxa" w:w="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W. Picacho for NMFA, HFFF, EDA grant eligibility based on economic distress criteria</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Cider bar positioning</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Cultural destination; tourism draw; downtown nightlife</w:t>
            </w:r>
          </w:p>
        </w:tc>
        <w:tc>
          <w:tcPr>
            <w:tcW w:type="dxa" w:w="29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Eatertainment anchor adjacent to sports complex; family-oriented day destination</w:t>
            </w:r>
          </w:p>
        </w:tc>
        <w:tc>
          <w:tcPr>
            <w:tcW w:type="dxa" w:w="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Downtown for evening/tourism; W. Picacho for daytime/family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FFF8E8" w:val="clear"/>
            <w:tcMar>
              <w:top w:type="dxa" w:w="100"/>
              <w:left w:type="dxa" w:w="200"/>
              <w:bottom w:type="dxa" w:w="100"/>
              <w:right w:type="dxa" w:w="120"/>
            </w:tcMar>
          </w:tcPr>
          <w:p>
            <w:pPr>
              <w:spacing w:after="40" w:before="0"/>
            </w:pPr>
            <w:r>
              <w:rPr>
                <w:rFonts w:ascii="Arial" w:cs="Arial" w:eastAsia="Arial" w:hAnsi="Arial"/>
                <w:b/>
                <w:bCs/>
                <w:color w:val="92600A"/>
                <w:sz w:val="22"/>
                <w:szCs w:val="22"/>
              </w:rPr>
              <w:t xml:space="preserve">Recommended Phase 1 Action</w:t>
            </w:r>
          </w:p>
          <w:p>
            <w:pPr>
              <w:spacing w:after="0" w:before="0"/>
            </w:pPr>
            <w:r>
              <w:rPr>
                <w:rFonts w:ascii="Arial" w:cs="Arial" w:eastAsia="Arial" w:hAnsi="Arial"/>
                <w:color w:val="1A1A1A"/>
                <w:sz w:val="21"/>
                <w:szCs w:val="21"/>
              </w:rPr>
              <w:t xml:space="preserve">Pursue both sites simultaneously. Contact City Economic Development about Tashiro Drive eatertainment district (Strategy 3.4) and ask: Who is the property owner? Is the city prepared to offer development incentives? What is the timeline for the eatertainment district concept? At the same time, continue downtown site search using the ArcGIS 2025 Zoning Code layer (Supplement O). Whichever site secures a viable term sheet first advances to Phase 2. Keeping both tracks open until Month 3 is lower risk than committing to one site before lease negotiations begin.</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P.4 Grant Narrative Language — MRA Plan Citations</w:t>
      </w:r>
    </w:p>
    <w:p>
      <w:pPr>
        <w:spacing w:after="80" w:before="60"/>
      </w:pPr>
      <w:r>
        <w:rPr>
          <w:rFonts w:ascii="Arial" w:cs="Arial" w:eastAsia="Arial" w:hAnsi="Arial"/>
          <w:color w:val="1A1A1A"/>
          <w:sz w:val="22"/>
          <w:szCs w:val="22"/>
        </w:rPr>
        <w:t xml:space="preserve">The following talking points, directly grounded in the two MRA plans, should be used in every grant application, city meeting, and investor presentation: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Audience</w:t>
            </w:r>
          </w:p>
        </w:tc>
        <w:tc>
          <w:tcPr>
            <w:tcW w:type="dxa" w:w="6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20"/>
                <w:szCs w:val="20"/>
              </w:rPr>
              <w:t xml:space="preserve">MRA-Based Talking Point</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City of Las Cruces Economic Development / NMFA</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West Picacho and Motel MRA Plan, adopted November 2025, explicitly directs the City in Strategy 3.4 to work with a developer to create an eatertainment district with food hall and commercial kitchen components at the Tashiro catalyst site. The Hub is the operator that plan is recruiting. A NMFA investment in the Hub directly implements your own adopted MRA plan.'</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HFFF / Small Business Incubator grants</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El Paseo and South Solano MRA Plan (April 2026) cites the Farmington, NM Harvest Food Hub as a successful MRA-supported food entrepreneur incubator -- and calls explicitly for a business incubator along the El Paseo/S. Solano corridor. The Hub is the Las Cruces implementation of the model your own planning documents have endorsed.'</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EDA Public Works grants (W. Picacho site)</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West Picacho MRA corridor has 20.7% unemployment -- more than three times the city average. EDA Public Works grants are designed for exactly this context. The Hub's 50-70 total jobs (direct Hub + vendor staff + indirect regional multiplier), 12+ businesses launched in Year 1, and $200-300K in annual local agriculture purchasing are the measurable economic outcomes EDA requires.'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USDA LFPP / Local Food grants</w:t>
            </w:r>
          </w:p>
        </w:tc>
        <w:tc>
          <w:tcPr>
            <w:tcW w:type="dxa" w:w="6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El Paseo MRA plan cites NMSU's Local Food, Local Places grant as the mechanism that funded the Farmington food hub's first five years of operation. The Hub's commissary kitchen, combined with NMSU's Arrowhead Center partnership, replicates this exact structure in Las Cruces.'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NM Destination Forward grant</w:t>
            </w:r>
          </w:p>
        </w:tc>
        <w:tc>
          <w:tcPr>
            <w:tcW w:type="dxa" w:w="6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after="60" w:before="60"/>
            </w:pPr>
            <w:r>
              <w:rPr>
                <w:rFonts w:ascii="Arial" w:cs="Arial" w:eastAsia="Arial" w:hAnsi="Arial"/>
                <w:b w:val="false"/>
                <w:bCs w:val="false"/>
                <w:color w:val="1A1A1A"/>
                <w:sz w:val="20"/>
                <w:szCs w:val="20"/>
              </w:rPr>
              <w:t xml:space="preserve">'The W. Picacho MRA plan identifies restaurants and amenities as the most-needed businesses (51% of 703 survey respondents). The Hub's cider bar -- featuring 8-10 NM cideries -- plus the Hub Signature Restaurant, Mediterranean, and Southern BBQ concepts that have no local competition create a genuine tourism destination. The Destination Forward grant program explicitly lists food trails and food-based facilities as eligible uses.'</w:t>
            </w:r>
          </w:p>
        </w:tc>
      </w:tr>
    </w:tbl>
    <w:p>
      <w:pPr>
        <w:spacing w:after="80" w:before="80"/>
      </w:pPr>
      <w:r>
        <w:t xml:space="preserve"/>
      </w:r>
    </w:p>
    <w:p>
      <w:pPr>
        <w:spacing w:after="80" w:before="60"/>
      </w:pPr>
      <w:r>
        <w:rPr>
          <w:rFonts w:ascii="Arial" w:cs="Arial" w:eastAsia="Arial" w:hAnsi="Arial"/>
          <w:i/>
          <w:iCs/>
          <w:color w:val="555555"/>
          <w:sz w:val="20"/>
          <w:szCs w:val="20"/>
        </w:rPr>
        <w:t xml:space="preserve">Sources: West Picacho and Motel Metropolitan Redevelopment Plan (City of Las Cruces Economic Development Department; Stantec Consulting; adopted November 2025; GRT increment financing approved March 2026); El Paseo and South Solano Metropolitan Redevelopment Area Plan (prepared June 30, 2025; adopted April 16, 2026); Community survey data from W. Picacho MRA engagement process (703 respondents); Farmington, NM Harvest Food Hub case study as cited in El Paseo MRA Plan.</w:t>
      </w:r>
    </w:p>
    <w:p>
      <w:r>
        <w:br w:type="page"/>
      </w:r>
    </w:p>
    <w:p>
      <w:pPr>
        <w:pStyle w:val="Heading1"/>
        <w:spacing w:before="480" w:after="140"/>
      </w:pPr>
      <w:r>
        <w:rPr>
          <w:rFonts w:ascii="Arial" w:hAnsi="Arial"/>
          <w:b/>
          <w:color w:val="1B3A5C"/>
          <w:sz w:val="36"/>
          <w:szCs w:val="36"/>
        </w:rPr>
        <w:t>Supplement P: Metropolitan Redevelopment Area (MRA) Plan Analysis</w:t>
      </w:r>
    </w:p>
    <w:p>
      <w:pPr>
        <w:pStyle w:val="Heading2"/>
        <w:spacing w:before="320" w:after="100"/>
      </w:pPr>
      <w:r>
        <w:rPr>
          <w:rFonts w:ascii="Arial" w:hAnsi="Arial"/>
          <w:b/>
          <w:color w:val="2563A8"/>
          <w:sz w:val="28"/>
          <w:szCs w:val="28"/>
        </w:rPr>
        <w:t>West Picacho and Motel MRA (April 2026) + El Paseo and South Solano MRA (June 2025)</w:t>
      </w:r>
    </w:p>
    <w:p>
      <w:pPr>
        <w:spacing w:before="60" w:after="80"/>
      </w:pPr>
      <w:r>
        <w:rPr>
          <w:rFonts w:ascii="Arial" w:hAnsi="Arial"/>
          <w:color w:val="1A1A1A"/>
          <w:sz w:val="22"/>
          <w:szCs w:val="22"/>
        </w:rPr>
        <w:t xml:space="preserve">Las Cruces has three active Metropolitan Redevelopment Areas. Two of the three MRA plans have been finalized and contain direct, explicit references to food halls, commercial kitchens, food entrepreneurship incubators, and 'eatertainment districts' as priority redevelopment goals. This supplement documents what those plans say, how they affect site selection, and how the Hub can position itself as an implementation partner for the MRA program -- unlocking additional funding, political support, and City Economic Development partnership.</w:t>
      </w:r>
    </w:p>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P.1 West Picacho and Motel MRA -- Plan Summary and Hub Relevance</w:t>
      </w:r>
    </w:p>
    <w:p>
      <w:pPr>
        <w:spacing w:before="60" w:after="80"/>
      </w:pPr>
      <w:r>
        <w:rPr>
          <w:rFonts w:ascii="Arial" w:hAnsi="Arial"/>
          <w:color w:val="1A1A1A"/>
          <w:sz w:val="22"/>
          <w:szCs w:val="22"/>
        </w:rPr>
        <w:t xml:space="preserve">Prepared by Stantec Consulting for the City of Las Cruces Economic Development Department. Adopted April 2026. Covers the West Picacho Avenue / Motel Boulevard corridor, west of downtown. Study area population: 4,136 residents (3.6% of city total).</w:t>
      </w:r>
    </w:p>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Demographic Profile -- Why This MRA Is a Hub Equity Story</w:t>
      </w:r>
    </w:p>
    <w:tbl>
      <w:tblPr>
        <w:tblW w:type="dxa" w:w="9360"/>
        <w:tblBorders>
          <w:insideH w:val="single" w:color="B0C8E8" w:sz="1"/>
          <w:insideV w:val="single" w:color="B0C8E8" w:sz="1"/>
        </w:tblBorders>
      </w:tblPr>
      <w:tblGrid>
        <w:gridCol w:w="2800"/>
        <w:gridCol w:w="2200"/>
        <w:gridCol w:w="2200"/>
        <w:gridCol w:w="21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Metric</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 Picacho MRA</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City of Las Cruces</w:t>
            </w:r>
          </w:p>
        </w:tc>
        <w:tc>
          <w:tcPr>
            <w:tcW w:type="dxa" w:w="2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Relevance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Median Household Income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$26,139</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$53,987</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MRA household income approaches Federal Poverty Line for family of 3 ($25,820). Hub's incubator model (2-year graduated stalls at $2,000-$2,500/mo) is directly accessible to food entrepreneurs from this community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Unemployment Rate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20.7%</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6.2%</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3.3x city average. Hub's 50-70 total job creation (direct + indirect) -- specifically on the W. Picacho corridor if MRA site is selected -- directly addresses the MRA plan's top economic priority</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Median Age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34.5 years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36.4 years</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Younger than city median. Primary demographic for diverse food experiences -- Hub Signature Restaurant, BBQ, cider bar. High appetite for the variety the Hub offers</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Median Home Value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$95,709</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$229,348</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Affordable neighborhood; residents more likely to spend on dining out for variety than on home improvement. Strong potential repeat-visit customer base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Education Level</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64% HS or higher</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76% HS or higher</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Below city average; workforce training component (NMSU/DACC partnerships) directly addresses this gap. Cited in both Elevate Las Cruces and W. Picacho MRA as priority</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Community Top Priority (Survey, 703 respondents)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#1: Support small and local businesses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N/A</w:t>
            </w:r>
          </w:p>
        </w:tc>
        <w:tc>
          <w:tcPr>
            <w:tcW w:type="dxa" w:w="2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 creates 12+ small food businesses in Year 1. Direct alignment with the most-expressed community priority in the MRA plan</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Most Needed Amenity</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#2: Restaurants (51.2%)</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N/A</w:t>
            </w:r>
          </w:p>
        </w:tc>
        <w:tc>
          <w:tcPr>
            <w:tcW w:type="dxa" w:w="2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More than half of 703 MRA survey respondents explicitly named restaurants as a top need. A food hall IS the answer this community asked for</w:t>
            </w:r>
          </w:p>
        </w:tc>
      </w:tr>
    </w:tbl>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Where the Plan Explicitly Names Food Halls and Commercial Kitchens</w:t>
      </w:r>
    </w:p>
    <w:p>
      <w:pPr>
        <w:spacing w:before="60" w:after="80"/>
      </w:pPr>
      <w:r>
        <w:rPr>
          <w:rFonts w:ascii="Arial" w:hAnsi="Arial"/>
          <w:color w:val="1A1A1A"/>
          <w:sz w:val="22"/>
          <w:szCs w:val="22"/>
        </w:rPr>
        <w:t xml:space="preserve">This is the most significant finding from the W. Picacho MRA plan. The community engagement process and the professional planning team's recommendations both explicitly name food halls and commercial kitchens as priority uses. These are not interpretations -- they are direct quotes from the adopted plan.</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1800"/>
        <w:gridCol w:w="4200"/>
        <w:gridCol w:w="3360"/>
      </w:tblGrid>
      <w:tr>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Plan Section</w:t>
            </w:r>
          </w:p>
        </w:tc>
        <w:tc>
          <w:tcPr>
            <w:tcW w:type="dxa" w:w="4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Direct Quote / Finding</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Application</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Community Big Ideas (p.22) -- public engagement map exercise</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'Converting existing motels into temporary or permanent housing. Activating the vacant parcel on Tashiro Drive as a recreation or multi-use space, potentially including: Housing, Restaurants, A food hall'</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A food hall is explicitly named by the community as a desired use for the Tashiro Drive catalyst site. This is resident-driven validation, not consultant speculation -- 703 survey respondents shaped this output</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Strategy 3.4: Cultivate New Entrepreneurship (p.47)</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'Promote cultural and food-based retail clusters. Work with owner/developer to create an eatertainment district in the northwest corner of the Tashiro catalyst site. Investigate potential for a commercial kitchen in the eatertainment district to complement small-scale start-ups/food trucks'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The plan recommends exactly what the Hub delivers: food-based retail cluster + eatertainment + commercial kitchen. Strategy 3.4 is the plan's entrepreneurship strategy; the Hub is the private-sector implementation of it</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Strategy 3.5: Workforce Training (p.47)</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'Workforce training should align with corridor opportunities such as food service, retail management, building trades, and film support services so residents can secure quality jobs nearby'</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Hub's NMSU/DACC workforce partnership + 10-15 apprenticeships/year directly implements Strategy 3.5. The plan names food service as the #1 workforce training category</w:t>
            </w:r>
          </w:p>
        </w:tc>
      </w:tr>
      <w:tr>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Catalyst Site #1: Tashiro Mixed-Use Hub (p.58-59)</w:t>
            </w:r>
          </w:p>
        </w:tc>
        <w:tc>
          <w:tcPr>
            <w:tcW w:type="dxa" w:w="4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'An additional small retail/dining node at the site's northwestern corner is envisioned as an eatertainment area, intended to capitalize on proximity to the Field of Dreams and offer both permanent and food-truck type options within walking distance of that facility'</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The Tashiro site (~42 acres, private owner) is the plan's primary catalyst. The Hub's food hall + food truck integration model exactly matches the eatertainment node concept envisioned for this site</w:t>
            </w:r>
          </w:p>
        </w:tc>
      </w:tr>
      <w:tr>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Public Survey Top Amenity Needs (p.25)</w:t>
            </w:r>
          </w:p>
        </w:tc>
        <w:tc>
          <w:tcPr>
            <w:tcW w:type="dxa" w:w="4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'Most needed businesses: grocery stores (61%), restaurants (51.21%), retail stores (31.29%), alongside medical services, entertainment, and coffee shops'</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51% of 703 survey respondents named restaurants as one of the top unmet needs in the MRA -- the highest food-related demand figure in any Las Cruces planning document reviewed</w:t>
            </w:r>
          </w:p>
        </w:tc>
      </w:tr>
    </w:tbl>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A5C2A"/>
              <w:bottom w:val="single" w:sz="6" w:color="1A5C2A"/>
              <w:left w:val="thick" w:sz="18" w:color="1A5C2A"/>
              <w:right w:val="none" w:sz="0" w:color="FFFFFF"/>
            </w:tcBorders>
            <w:shd w:fill="E8F4EE" w:val="clear"/>
            <w:tcMar>
              <w:top w:type="dxa" w:w="100"/>
              <w:bottom w:type="dxa" w:w="100"/>
              <w:left w:type="dxa" w:w="200"/>
              <w:right w:type="dxa" w:w="120"/>
            </w:tcMar>
          </w:tcPr>
          <w:p>
            <w:pPr>
              <w:spacing w:before="0" w:after="40"/>
            </w:pPr>
            <w:r>
              <w:rPr>
                <w:rFonts w:ascii="Arial" w:hAnsi="Arial"/>
                <w:b/>
                <w:color w:val="1A5C2A"/>
                <w:sz w:val="22"/>
                <w:szCs w:val="22"/>
              </w:rPr>
              <w:t>Strategic Implication</w:t>
            </w:r>
          </w:p>
          <w:p>
            <w:pPr>
              <w:spacing w:before="0" w:after="0"/>
            </w:pPr>
            <w:r>
              <w:rPr>
                <w:rFonts w:ascii="Arial" w:hAnsi="Arial"/>
                <w:color w:val="1A1A1A"/>
                <w:sz w:val="21"/>
                <w:szCs w:val="21"/>
              </w:rPr>
              <w:t xml:space="preserve">The W. Picacho and Motel MRA Plan is the single most powerful planning document endorsement the Hub has. The community asked for a food hall by name. The City's planning consultants recommended an eatertainment district with a commercial kitchen by name. A private-sector operator (the Hub) delivering exactly what the MRA plan calls for is the strongest possible positioning for NMFA grants, City Economic Development support, and MRA bond financing. Use this in every city meeting.</w:t>
            </w:r>
          </w:p>
        </w:tc>
      </w:tr>
    </w:tbl>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MRA Implementation Tools Available to the Hub</w:t>
      </w:r>
    </w:p>
    <w:p>
      <w:pPr>
        <w:spacing w:before="60" w:after="80"/>
      </w:pPr>
      <w:r>
        <w:rPr>
          <w:rFonts w:ascii="Arial" w:hAnsi="Arial"/>
          <w:color w:val="1A1A1A"/>
          <w:sz w:val="22"/>
          <w:szCs w:val="22"/>
        </w:rPr>
        <w:t xml:space="preserve">Because the Hub would implement explicit MRA plan strategies, it may be eligible for MRA-specific implementation funding and partnership mechanisms that are not available to a generic downtown project.</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2400"/>
        <w:gridCol w:w="3200"/>
        <w:gridCol w:w="37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Tool</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How MRA Enables It</w:t>
            </w:r>
          </w:p>
        </w:tc>
        <w:tc>
          <w:tcPr>
            <w:tcW w:type="dxa" w:w="3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Recommended Action for Hub</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MRA Public-Private Partnership (P3)</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MRA designation creates a state anti-donation clause exemption, allowing the City to directly partner with private entities on redevelopment projects. The El Paseo/S. Solano MRA plan explicitly cites Farmington NM's Harvest Food Hub as a P3 precedent for exactly this use case</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Frame the Hub as a P3 implementation of MRA Strategy 3.4 (eatertainment district + commercial kitchen). Contact City Economic Development MRA team (Elizabeth Teeters / Celina Morales, 575-541-2425) in Phase 1 for a P3 scoping discussion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MRA Bond Financing</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MRA plans may issue bonds backed by tax increment revenues (GRT + property tax) from within the MRA boundary to fund catalytic infrastructure projects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If Hub is sited in the W. Picacho MRA boundary, ask City MRA team whether MRA bond financing can be used for shared infrastructure (grease interceptor, utilities, parking). This could offset $50K-$150K of buildout cost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Tax Increment Development District (TIDD)</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Both MRA plans discuss TIDD as a primary implementation tool. W. Picacho MRA recommends 'Tax Increment Financing within the MRA to support catalytic projects' (Strategy 4.4)</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Hub's GRT generation contributes to TIDD increment. Request that MRA TIDD-funded public improvements (streetscape, lighting, pedestrian crossings) be coordinated with Hub's opening timeline -- this is listed as a near-term action in the MRA plan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Vacant Property Acquisition and Land Bank</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Both MRA plans recommend a land bank of vacant parcels, with the City acquiring and holding underutilized sites for mission-aligned redevelopment</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If target site is a vacant MRA parcel, City may be willing to sell below market, lease at reduced rate, or donate land to catalytic project. W. Picacho MRA explicitly recommends this mechanism for incubator-type uses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Facade and Storefront Improvement Grants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 Picacho MRA Strategy 3.3 recommends a Facade Improvement Grant Program for businesses along West Picacho Avenue, including signage, lighting, accessibility, and storefront transparency</w:t>
            </w:r>
          </w:p>
        </w:tc>
        <w:tc>
          <w:tcPr>
            <w:tcW w:type="dxa" w:w="3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Hub vendors may qualify for Facade Improvement Grants for their individual stalls after opening. Include this in vendor onboarding as a Year 1 benefit -- reduces vendor buildout cost and increases Hub's competitive advantage over standalone locations</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Brownfield Grants</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W. Picacho MRA Strategy 3.1 recommends pursuing brownfield grants for property assessment and planning on key redevelopment sites</w:t>
            </w:r>
          </w:p>
        </w:tc>
        <w:tc>
          <w:tcPr>
            <w:tcW w:type="dxa" w:w="3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If Hub site has any legacy contamination (former motel, auto repair, industrial use), City MRA team can pursue brownfield assessment grant on Hub's behalf as part of the MRA implementation -- may cover Phase I/II environmental costs</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P.2 El Paseo and South Solano MRA -- Plan Summary and Hub Relevance</w:t>
      </w:r>
    </w:p>
    <w:p>
      <w:pPr>
        <w:spacing w:before="60" w:after="80"/>
      </w:pPr>
      <w:r>
        <w:rPr>
          <w:rFonts w:ascii="Arial" w:hAnsi="Arial"/>
          <w:color w:val="1A1A1A"/>
          <w:sz w:val="22"/>
          <w:szCs w:val="22"/>
        </w:rPr>
        <w:t xml:space="preserve">Prepared for the City of Las Cruces. Adopted June 2025. Covers the El Paseo Road / South Solano Drive corridor, south of downtown toward NMSU. The MRA area is described as 'primarily identified as Urban Neighborhood' in the Elevate Las Cruces Future Development Map, with Mixed-Use Corridor Overlay designations on El Paseo Rd. and S. Solano Dr.</w:t>
      </w:r>
    </w:p>
    <w:p>
      <w:pPr>
        <w:spacing w:before="60" w:after="80"/>
      </w:pPr>
      <w:r>
        <w:rPr>
          <w:rFonts w:ascii="Arial" w:hAnsi="Arial"/>
          <w:color w:val="1A1A1A"/>
          <w:sz w:val="22"/>
          <w:szCs w:val="22"/>
        </w:rPr>
        <w:t xml:space="preserve"/>
      </w:r>
    </w:p>
    <w:p>
      <w:pPr>
        <w:spacing w:before="200" w:after="80"/>
      </w:pPr>
      <w:r>
        <w:rPr>
          <w:rFonts w:ascii="Arial" w:hAnsi="Arial"/>
          <w:b/>
          <w:color w:val="14746F"/>
          <w:sz w:val="24"/>
          <w:szCs w:val="24"/>
        </w:rPr>
        <w:t>Key Demographics and Market Findings (RCLCO Analysis)</w:t>
      </w:r>
    </w:p>
    <w:tbl>
      <w:tblPr>
        <w:tblW w:type="dxa" w:w="9360"/>
        <w:tblBorders>
          <w:insideH w:val="single" w:color="B0C8E8" w:sz="1"/>
          <w:insideV w:val="single" w:color="B0C8E8" w:sz="1"/>
        </w:tblBorders>
      </w:tblPr>
      <w:tblGrid>
        <w:gridCol w:w="3200"/>
        <w:gridCol w:w="3000"/>
        <w:gridCol w:w="3160"/>
      </w:tblGrid>
      <w:tr>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Finding</w:t>
            </w:r>
          </w:p>
        </w:tc>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Data Point</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Hub Relevance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Age profile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37% of MRA households are under age 35; largest growth segment is 35-44; significant NMSU student presence</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Younger than city average -- highest propensity for diverse food spending. Hub Signature, ramen, Mediterranean, craft cider are high-appeal categories for this demographic</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Income</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Nearly 50% of households earn under $25,000; only 22% earn over $50,000 (vs. ~50% citywide)</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Validates Hub's accessible price point strategy ($12-$20/entree). Lower-price Hub Signature and Mexican Street Food concepts will outperform premium concepts in this market segment</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Retail gap -- Food and Beverage</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RCLCO found that Food &amp; Beverage establishments are underrepresented in the MRA relative to the county (lower establishment multiplier AND lower visitation multiplier)</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Independent confirmation from city-hired market consultants that Las Cruces has a documented Food &amp; Beverage supply gap. The Hub fills it. Use this in NMFA and HFFF grant applications.</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Commercial retail demand</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RCLCO projects 23,000-26,000 sq ft of new neighborhood retail demand by 2040 in the MRA alone (base case); 56,000-62,000 sq ft upside</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Hub's 8,000 sq ft is well within the supportable range for Las Cruces. MRA's hired consultants validated commercial scale</w:t>
            </w:r>
          </w:p>
        </w:tc>
      </w:tr>
      <w:tr>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Community priority: business incubator</w:t>
            </w:r>
          </w:p>
        </w:tc>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'There is potential for a business incubator to serve the surrounding commercial areas and support new entrepreneurs' (p.127)</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El Paseo MRA plan independently confirms that a business incubator is an identified community need -- matching the W. Picacho MRA's Strategy 3.4. Two separate MRA plans, two separate consultant teams, same recommendation.</w:t>
            </w:r>
          </w:p>
        </w:tc>
      </w:tr>
      <w:tr>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P3 case study: Farmington Food Hub</w:t>
            </w:r>
          </w:p>
        </w:tc>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El Paseo plan presents the Harvest Food Hub and Kitchen at San Juan College (Farmington, NM) as a P3 precedent -- a commercial kitchen for food entrepreneurs created through MRA Public-Private Partnership</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Direct precedent for the Hub's model in a New Mexico MRA context. The El Paseo plan endorses this exact format as a successful implementation strategy for Las Cruces</w:t>
            </w:r>
          </w:p>
        </w:tc>
      </w:tr>
    </w:tbl>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92600A"/>
              <w:bottom w:val="single" w:sz="6" w:color="92600A"/>
              <w:left w:val="thick" w:sz="18" w:color="92600A"/>
              <w:right w:val="none" w:sz="0" w:color="FFFFFF"/>
            </w:tcBorders>
            <w:shd w:fill="FFF8E8" w:val="clear"/>
            <w:tcMar>
              <w:top w:type="dxa" w:w="100"/>
              <w:bottom w:type="dxa" w:w="100"/>
              <w:left w:type="dxa" w:w="200"/>
              <w:right w:type="dxa" w:w="120"/>
            </w:tcMar>
          </w:tcPr>
          <w:p>
            <w:pPr>
              <w:spacing w:before="0" w:after="40"/>
            </w:pPr>
            <w:r>
              <w:rPr>
                <w:rFonts w:ascii="Arial" w:hAnsi="Arial"/>
                <w:b/>
                <w:color w:val="92600A"/>
                <w:sz w:val="22"/>
                <w:szCs w:val="22"/>
              </w:rPr>
              <w:t>Farmington MRA Food Hub Precedent</w:t>
            </w:r>
          </w:p>
          <w:p>
            <w:pPr>
              <w:spacing w:before="0" w:after="0"/>
            </w:pPr>
            <w:r>
              <w:rPr>
                <w:rFonts w:ascii="Arial" w:hAnsi="Arial"/>
                <w:color w:val="1A1A1A"/>
                <w:sz w:val="21"/>
                <w:szCs w:val="21"/>
              </w:rPr>
              <w:t xml:space="preserve">The El Paseo/S. Solano MRA plan (June 2025) presents the Harvest Food Hub and Kitchen at San Juan College (Farmington, NM) as a P3 case study. The plan notes that the MRA designation enabled the City of Farmington to partner with San Juan College and NMSU to create a commercial kitchen for food entrepreneurs. Key factors in success per the plan: MRA Plan identified the project location specifically; planning process demonstrated feasibility; NMSU LFPP grant funding covered 5 years of operating costs. Las Cruces has the same tools. The Hub should request the same P3 framework from the City.</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P.3 Site Selection Implications -- Downtown vs. MRA</w:t>
      </w:r>
    </w:p>
    <w:p>
      <w:pPr>
        <w:spacing w:before="60" w:after="80"/>
      </w:pPr>
      <w:r>
        <w:rPr>
          <w:rFonts w:ascii="Arial" w:hAnsi="Arial"/>
          <w:color w:val="1A1A1A"/>
          <w:sz w:val="22"/>
          <w:szCs w:val="22"/>
        </w:rPr>
        <w:t xml:space="preserve">The two MRA plans create a meaningful choice for Hub site selection. The analysis below documents the tradeoffs between a downtown site and an MRA site.</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2400"/>
        <w:gridCol w:w="3480"/>
        <w:gridCol w:w="348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Factor</w:t>
            </w:r>
          </w:p>
        </w:tc>
        <w:tc>
          <w:tcPr>
            <w:tcW w:type="dxa" w:w="3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Downtown Las Cruces</w:t>
            </w:r>
          </w:p>
        </w:tc>
        <w:tc>
          <w:tcPr>
            <w:tcW w:type="dxa" w:w="34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 Picacho MRA Site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Policy endorsement</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East Lohman Plan, Elevate Las Cruces, 2016 Downtown Master Plan, Arts and Cultural District Plan -- all support downtown food hall</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 Picacho MRA Plan (April 2026) explicitly names food hall + eatertainment + commercial kitchen at Tashiro Site. STRONGEST policy endorsement available.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Grant eligibility</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NMFA, TIDD, QOZ, DLCP Renovate Main Street, HFFF -- all accessible. DLCP grant requires downtown location.</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NMFA, TIDD, MRA bonds, P3 partnership, brownfield grants, Facade Improvement Grants. Loses DLCP Renovate Main Street. Gains MRA-specific tools.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Foot traffic (Day 1)</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Higher -- established downtown pedestrian activity, tourism, government workers, events</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Lower at launch; developing corridor. Requires stronger active marketing and event programming to build initial traffic</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Parking</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Urban Character Area -- parking minimums eliminated under Realize LC 2025 code. Shared parking available.</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Suburban Character Area -- parking minimums still apply. Surface parking required. Additional buildout cost.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Site availability</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No public vacancy map yet; contact NAT team. Competition from other downtown development activity.</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Tashiro Drive site (~42 acres, private owner) explicitly identified in MRA plan as priority for food hall use. Largest undeveloped site in the MRA.</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Demographics served</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Broader city/regional/tourist mix. Higher income segments (young professionals, regional visitors).</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Directly serves underserved community: median HH income $26,139, unemployment 20.7%. Stronger equity and workforce development grant narrative.</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Risk profile</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Lower -- established foot traffic, proven demand, tourism infrastructure</w:t>
            </w:r>
          </w:p>
        </w:tc>
        <w:tc>
          <w:tcPr>
            <w:tcW w:type="dxa" w:w="34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Higher at launch -- requires corridor investment to build; dependent on MRA implementation timeline and city infrastructure investment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DLCP alignment</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Strong -- DLCP Renovate Main Street matching grant requires downtown location</w:t>
            </w:r>
          </w:p>
        </w:tc>
        <w:tc>
          <w:tcPr>
            <w:tcW w:type="dxa" w:w="34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Not eligible for DLCP grant. However, MRA Economic Development Department is the direct city counterpart.</w:t>
            </w:r>
          </w:p>
        </w:tc>
      </w:tr>
    </w:tbl>
    <w:p>
      <w:pPr>
        <w:spacing w:before="60" w:after="80"/>
      </w:pPr>
      <w:r>
        <w:rPr>
          <w:rFonts w:ascii="Arial" w:hAnsi="Arial"/>
          <w:color w:val="1A1A1A"/>
          <w:sz w:val="22"/>
          <w:szCs w:val="22"/>
        </w:rPr>
        <w:t xml:space="preserve"/>
      </w:r>
    </w:p>
    <w:tbl>
      <w:tblPr>
        <w:tblW w:type="dxa" w:w="9360"/>
      </w:tblPr>
      <w:tblGrid>
        <w:gridCol w:w="9360"/>
      </w:tblGrid>
      <w:tr>
        <w:tc>
          <w:tcPr>
            <w:tcW w:type="dxa" w:w="9360"/>
            <w:tcBorders>
              <w:top w:val="single" w:sz="6" w:color="1B3A5C"/>
              <w:bottom w:val="single" w:sz="6" w:color="1B3A5C"/>
              <w:left w:val="thick" w:sz="18" w:color="1B3A5C"/>
              <w:right w:val="none" w:sz="0" w:color="FFFFFF"/>
            </w:tcBorders>
            <w:shd w:fill="EEF2F7" w:val="clear"/>
            <w:tcMar>
              <w:top w:type="dxa" w:w="100"/>
              <w:bottom w:type="dxa" w:w="100"/>
              <w:left w:type="dxa" w:w="200"/>
              <w:right w:type="dxa" w:w="120"/>
            </w:tcMar>
          </w:tcPr>
          <w:p>
            <w:pPr>
              <w:spacing w:before="0" w:after="40"/>
            </w:pPr>
            <w:r>
              <w:rPr>
                <w:rFonts w:ascii="Arial" w:hAnsi="Arial"/>
                <w:b/>
                <w:color w:val="1B3A5C"/>
                <w:sz w:val="22"/>
                <w:szCs w:val="22"/>
              </w:rPr>
              <w:t>Recommendation</w:t>
            </w:r>
          </w:p>
          <w:p>
            <w:pPr>
              <w:spacing w:before="0" w:after="0"/>
            </w:pPr>
            <w:r>
              <w:rPr>
                <w:rFonts w:ascii="Arial" w:hAnsi="Arial"/>
                <w:color w:val="1A1A1A"/>
                <w:sz w:val="21"/>
                <w:szCs w:val="21"/>
              </w:rPr>
              <w:t xml:space="preserve">The business plan currently targets downtown Las Cruces as the primary site, with the W. Picacho MRA as a secondary option. This remains the right priority order -- downtown has lower risk and stronger foot traffic for Day 1 operations. However, if a downtown site cannot be secured within Phase 1 (Months 1-3), the W. Picacho MRA Tashiro site should be immediately elevated to primary because it has the strongest policy endorsement of any site option and the most direct City partnership pathway.</w:t>
            </w:r>
          </w:p>
        </w:tc>
      </w:tr>
    </w:tbl>
    <w:p>
      <w:pPr>
        <w:spacing w:before="60" w:after="80"/>
      </w:pPr>
      <w:r>
        <w:rPr>
          <w:rFonts w:ascii="Arial" w:hAnsi="Arial"/>
          <w:color w:val="1A1A1A"/>
          <w:sz w:val="22"/>
          <w:szCs w:val="22"/>
        </w:rPr>
        <w:t xml:space="preserve"/>
      </w:r>
    </w:p>
    <w:p>
      <w:pPr>
        <w:pStyle w:val="Heading2"/>
        <w:spacing w:before="320" w:after="100"/>
      </w:pPr>
      <w:r>
        <w:rPr>
          <w:rFonts w:ascii="Arial" w:hAnsi="Arial"/>
          <w:b/>
          <w:color w:val="2563A8"/>
          <w:sz w:val="28"/>
          <w:szCs w:val="28"/>
        </w:rPr>
        <w:t>P.4 MRA Contacts and Recommended Actions</w:t>
      </w:r>
    </w:p>
    <w:p>
      <w:pPr>
        <w:spacing w:before="60" w:after="80"/>
      </w:pPr>
      <w:r>
        <w:rPr>
          <w:rFonts w:ascii="Arial" w:hAnsi="Arial"/>
          <w:color w:val="1A1A1A"/>
          <w:sz w:val="22"/>
          <w:szCs w:val="22"/>
        </w:rPr>
        <w:t xml:space="preserve"/>
      </w:r>
    </w:p>
    <w:tbl>
      <w:tblPr>
        <w:tblW w:type="dxa" w:w="9360"/>
        <w:tblBorders>
          <w:insideH w:val="single" w:color="B0C8E8" w:sz="1"/>
          <w:insideV w:val="single" w:color="B0C8E8" w:sz="1"/>
        </w:tblBorders>
      </w:tblPr>
      <w:tblGrid>
        <w:gridCol w:w="2200"/>
        <w:gridCol w:w="2800"/>
        <w:gridCol w:w="43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Action</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Contact / Resource</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hAnsi="Arial"/>
                <w:b/>
                <w:color w:val="FFFFFF"/>
                <w:sz w:val="20"/>
                <w:szCs w:val="20"/>
              </w:rPr>
              <w:t>What to Say</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Contact City MRA Team -- Month 1</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Elizabeth Teeters, Celina Morales -- City of Las Cruces Economic Development Department. 575-541-2425 / economicdev@las-cruces.org</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'The W. Picacho MRA Plan recommends an eatertainment district with a commercial kitchen at the Tashiro Drive site (Strategy 3.4). We are the private-sector operator for exactly that concept. We want to explore a P3 partnership under the MRA designation to implement your plan's recommendations.'</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Request P3 Scoping Meeting -- Month 1</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City Economic Development + City Attorney (re: anti-donation clause P3 structure)</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Ask City to confirm: (1) Hub qualifies as MRA P3 partner; (2) what NMFA + MRA bond financing is available; (3) whether Tashiro site owner has been contacted by the city; (4) what infrastructure investment the city plans for the corridor</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Cite MRA Survey Data in All Grant Applications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W. Picacho MRA Plan (April 2026, Stantec) -- 703 survey respondents; restaurants #2 most-needed amenity (51.21%)</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Every NMFA, HFFF, EPE, and USDA grant application should include: '703 MRA community survey respondents identified restaurants as the #2 most needed amenity in the W. Picacho corridor, and community participants explicitly named a food hall as a priority use for the Tashiro Drive redevelopment site in the City's April 2026 MRA plan.'</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b/>
                <w:color w:val="1A1A1A"/>
                <w:sz w:val="20"/>
                <w:szCs w:val="20"/>
              </w:rPr>
              <w:t xml:space="preserve">Use Farmington Food Hub Precedent</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Harvest Food Hub and Kitchen, San Juan College, Farmington, NM -- cited in El Paseo MRA Plan (June 2025) as a successful P3 model</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pPr>
              <w:spacing w:before="60" w:after="60"/>
            </w:pPr>
            <w:r>
              <w:rPr>
                <w:rFonts w:ascii="Arial" w:hAnsi="Arial"/>
                <w:color w:val="1A1A1A"/>
                <w:sz w:val="20"/>
                <w:szCs w:val="20"/>
              </w:rPr>
              <w:t xml:space="preserve">The El Paseo MRA plan, which the City adopted in June 2025, endorses the Farmington MRA Food Hub as a precedent for Las Cruces. The Hub follows the same model. This is the City's own planning document pointing to the Hub's approach as best practice.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b/>
                <w:color w:val="1A1A1A"/>
                <w:sz w:val="20"/>
                <w:szCs w:val="20"/>
              </w:rPr>
              <w:t xml:space="preserve">Request MRA Technical Working Group Participation</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MRA Technical Work Group -- multi-departmental steering committee established by the City</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pPr>
              <w:spacing w:before="60" w:after="60"/>
            </w:pPr>
            <w:r>
              <w:rPr>
                <w:rFonts w:ascii="Arial" w:hAnsi="Arial"/>
                <w:color w:val="1A1A1A"/>
                <w:sz w:val="20"/>
                <w:szCs w:val="20"/>
              </w:rPr>
              <w:t xml:space="preserve">Request to present the Hub concept to the MRA Technical Working Group as a potential implementation partner for Strategy 3.4. This gets the Hub in front of all relevant city departments simultaneously and establishes it as a plan implementation partner rather than a grant applicant.</w:t>
            </w:r>
          </w:p>
        </w:tc>
      </w:tr>
    </w:tbl>
    <w:p>
      <w:pPr>
        <w:spacing w:before="60" w:after="80"/>
      </w:pPr>
      <w:r>
        <w:rPr>
          <w:rFonts w:ascii="Arial" w:hAnsi="Arial"/>
          <w:color w:val="1A1A1A"/>
          <w:sz w:val="22"/>
          <w:szCs w:val="22"/>
        </w:rPr>
        <w:t xml:space="preserve"/>
      </w:r>
    </w:p>
    <w:p>
      <w:pPr>
        <w:spacing w:before="80" w:after="60"/>
      </w:pPr>
      <w:r>
        <w:rPr>
          <w:rFonts w:ascii="Arial" w:hAnsi="Arial"/>
          <w:i/>
          <w:color w:val="555555"/>
          <w:sz w:val="20"/>
          <w:szCs w:val="20"/>
        </w:rPr>
        <w:t xml:space="preserve">Sources: West Picacho and Motel Metropolitan Redevelopment Plan (City of Las Cruces Economic Development Department / Stantec Consulting, April 2026); El Paseo and South Solano Metropolitan Redevelopment Area Plan (prepared for City of Las Cruces, June 2025, RCLCO market analysis); City of Las Cruces MRA Designation Resolution (March 2023).</w:t>
      </w:r>
    </w:p>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Appendix F: Comprehensive Financial Statements Package</w:t>
      </w:r>
    </w:p>
    <w:p>
      <w:pPr>
        <w:spacing w:after="80" w:before="60"/>
      </w:pPr>
      <w:r>
        <w:rPr>
          <w:rFonts w:ascii="Arial" w:cs="Arial" w:eastAsia="Arial" w:hAnsi="Arial"/>
          <w:color w:val="1A1A1A"/>
          <w:sz w:val="22"/>
          <w:szCs w:val="22"/>
        </w:rPr>
        <w:t xml:space="preserve">This appendix delivers the complete three-statement financial model required by SBA 7(a) lenders, accredited investors, and every major grant program the Hub is pursuing. It extends and formalizes the monthly cash flow in Supplement A by presenting, side-by-side:</w:t>
      </w:r>
    </w:p>
    <w:p>
      <w:pPr>
        <w:pStyle w:val="ListParagraph"/>
        <w:numPr>
          <w:ilvl w:val="0"/>
          <w:numId w:val="2"/>
        </w:numPr>
        <w:spacing w:after="40" w:before="40"/>
      </w:pPr>
      <w:r>
        <w:rPr>
          <w:rFonts w:ascii="Arial" w:cs="Arial" w:eastAsia="Arial" w:hAnsi="Arial"/>
          <w:b/>
          <w:bCs/>
          <w:color w:val="1B3A5C"/>
          <w:sz w:val="22"/>
          <w:szCs w:val="22"/>
        </w:rPr>
        <w:t xml:space="preserve">F.1 </w:t>
      </w:r>
      <w:r>
        <w:rPr>
          <w:rFonts w:ascii="Arial" w:cs="Arial" w:eastAsia="Arial" w:hAnsi="Arial"/>
          <w:color w:val="1A1A1A"/>
          <w:sz w:val="22"/>
          <w:szCs w:val="22"/>
        </w:rPr>
        <w:t xml:space="preserve">Sources and Uses of Funds (capital stack and pre-opening cost allocation)</w:t>
      </w:r>
    </w:p>
    <w:p>
      <w:pPr>
        <w:pStyle w:val="ListParagraph"/>
        <w:numPr>
          <w:ilvl w:val="0"/>
          <w:numId w:val="2"/>
        </w:numPr>
        <w:spacing w:after="40" w:before="40"/>
      </w:pPr>
      <w:r>
        <w:rPr>
          <w:rFonts w:ascii="Arial" w:cs="Arial" w:eastAsia="Arial" w:hAnsi="Arial"/>
          <w:b/>
          <w:bCs/>
          <w:color w:val="1B3A5C"/>
          <w:sz w:val="22"/>
          <w:szCs w:val="22"/>
        </w:rPr>
        <w:t xml:space="preserve">F.2 </w:t>
      </w:r>
      <w:r>
        <w:rPr>
          <w:rFonts w:ascii="Arial" w:cs="Arial" w:eastAsia="Arial" w:hAnsi="Arial"/>
          <w:color w:val="1A1A1A"/>
          <w:sz w:val="22"/>
          <w:szCs w:val="22"/>
        </w:rPr>
        <w:t xml:space="preserve">Pro Forma Income Statement -- Years 1 through 3</w:t>
      </w:r>
    </w:p>
    <w:p>
      <w:pPr>
        <w:pStyle w:val="ListParagraph"/>
        <w:numPr>
          <w:ilvl w:val="0"/>
          <w:numId w:val="2"/>
        </w:numPr>
        <w:spacing w:after="40" w:before="40"/>
      </w:pPr>
      <w:r>
        <w:rPr>
          <w:rFonts w:ascii="Arial" w:cs="Arial" w:eastAsia="Arial" w:hAnsi="Arial"/>
          <w:b/>
          <w:bCs/>
          <w:color w:val="1B3A5C"/>
          <w:sz w:val="22"/>
          <w:szCs w:val="22"/>
        </w:rPr>
        <w:t xml:space="preserve">F.3 </w:t>
      </w:r>
      <w:r>
        <w:rPr>
          <w:rFonts w:ascii="Arial" w:cs="Arial" w:eastAsia="Arial" w:hAnsi="Arial"/>
          <w:color w:val="1A1A1A"/>
          <w:sz w:val="22"/>
          <w:szCs w:val="22"/>
        </w:rPr>
        <w:t xml:space="preserve">Statement of Cash Flows (direct method) -- Years 1 through 3, formally classified into Operating, Investing, and Financing activities</w:t>
      </w:r>
    </w:p>
    <w:p>
      <w:pPr>
        <w:pStyle w:val="ListParagraph"/>
        <w:numPr>
          <w:ilvl w:val="0"/>
          <w:numId w:val="2"/>
        </w:numPr>
        <w:spacing w:after="40" w:before="40"/>
      </w:pPr>
      <w:r>
        <w:rPr>
          <w:rFonts w:ascii="Arial" w:cs="Arial" w:eastAsia="Arial" w:hAnsi="Arial"/>
          <w:b/>
          <w:bCs/>
          <w:color w:val="1B3A5C"/>
          <w:sz w:val="22"/>
          <w:szCs w:val="22"/>
        </w:rPr>
        <w:t xml:space="preserve">F.4 </w:t>
      </w:r>
      <w:r>
        <w:rPr>
          <w:rFonts w:ascii="Arial" w:cs="Arial" w:eastAsia="Arial" w:hAnsi="Arial"/>
          <w:color w:val="1A1A1A"/>
          <w:sz w:val="22"/>
          <w:szCs w:val="22"/>
        </w:rPr>
        <w:t xml:space="preserve">Pro Forma Balance Sheet -- Opening Day, Year-End 1, Year-End 2, Year-End 3</w:t>
      </w:r>
    </w:p>
    <w:p>
      <w:pPr>
        <w:pStyle w:val="ListParagraph"/>
        <w:numPr>
          <w:ilvl w:val="0"/>
          <w:numId w:val="2"/>
        </w:numPr>
        <w:spacing w:after="40" w:before="40"/>
      </w:pPr>
      <w:r>
        <w:rPr>
          <w:rFonts w:ascii="Arial" w:cs="Arial" w:eastAsia="Arial" w:hAnsi="Arial"/>
          <w:b/>
          <w:bCs/>
          <w:color w:val="1B3A5C"/>
          <w:sz w:val="22"/>
          <w:szCs w:val="22"/>
        </w:rPr>
        <w:t xml:space="preserve">F.5 </w:t>
      </w:r>
      <w:r>
        <w:rPr>
          <w:rFonts w:ascii="Arial" w:cs="Arial" w:eastAsia="Arial" w:hAnsi="Arial"/>
          <w:color w:val="1A1A1A"/>
          <w:sz w:val="22"/>
          <w:szCs w:val="22"/>
        </w:rPr>
        <w:t xml:space="preserve">Monthly Cash Flow Bridge -- Reconciliation from Supplement A to the Annual Statement of Cash Flows</w:t>
      </w:r>
    </w:p>
    <w:p>
      <w:pPr>
        <w:pStyle w:val="ListParagraph"/>
        <w:numPr>
          <w:ilvl w:val="0"/>
          <w:numId w:val="2"/>
        </w:numPr>
        <w:spacing w:after="40" w:before="40"/>
      </w:pPr>
      <w:r>
        <w:rPr>
          <w:rFonts w:ascii="Arial" w:cs="Arial" w:eastAsia="Arial" w:hAnsi="Arial"/>
          <w:b/>
          <w:bCs/>
          <w:color w:val="1B3A5C"/>
          <w:sz w:val="22"/>
          <w:szCs w:val="22"/>
        </w:rPr>
        <w:t xml:space="preserve">F.6 </w:t>
      </w:r>
      <w:r>
        <w:rPr>
          <w:rFonts w:ascii="Arial" w:cs="Arial" w:eastAsia="Arial" w:hAnsi="Arial"/>
          <w:color w:val="1A1A1A"/>
          <w:sz w:val="22"/>
          <w:szCs w:val="22"/>
        </w:rPr>
        <w:t xml:space="preserve">Key Financial Ratios and Covenants -- Debt service coverage, current ratio, quick ratio, and SBA-required metrics</w:t>
      </w:r>
    </w:p>
    <w:p>
      <w:pPr>
        <w:pStyle w:val="ListParagraph"/>
        <w:numPr>
          <w:ilvl w:val="0"/>
          <w:numId w:val="2"/>
        </w:numPr>
        <w:spacing w:after="40" w:before="40"/>
      </w:pPr>
      <w:r>
        <w:rPr>
          <w:rFonts w:ascii="Arial" w:cs="Arial" w:eastAsia="Arial" w:hAnsi="Arial"/>
          <w:b/>
          <w:bCs/>
          <w:color w:val="1B3A5C"/>
          <w:sz w:val="22"/>
          <w:szCs w:val="22"/>
        </w:rPr>
        <w:t xml:space="preserve">F.7 </w:t>
      </w:r>
      <w:r>
        <w:rPr>
          <w:rFonts w:ascii="Arial" w:cs="Arial" w:eastAsia="Arial" w:hAnsi="Arial"/>
          <w:color w:val="1A1A1A"/>
          <w:sz w:val="22"/>
          <w:szCs w:val="22"/>
        </w:rPr>
        <w:t xml:space="preserve">Sensitivity Walk -- How the cash flow statement moves under stress scenarios</w:t>
      </w:r>
    </w:p>
    <w:p>
      <w:pPr>
        <w:pStyle w:val="ListParagraph"/>
        <w:numPr>
          <w:ilvl w:val="0"/>
          <w:numId w:val="2"/>
        </w:numPr>
        <w:spacing w:after="40" w:before="40"/>
      </w:pPr>
      <w:r>
        <w:rPr>
          <w:rFonts w:ascii="Arial" w:cs="Arial" w:eastAsia="Arial" w:hAnsi="Arial"/>
          <w:b/>
          <w:bCs/>
          <w:color w:val="1B3A5C"/>
          <w:sz w:val="22"/>
          <w:szCs w:val="22"/>
        </w:rPr>
        <w:t xml:space="preserve">F.8 </w:t>
      </w:r>
      <w:r>
        <w:rPr>
          <w:rFonts w:ascii="Arial" w:cs="Arial" w:eastAsia="Arial" w:hAnsi="Arial"/>
          <w:color w:val="1A1A1A"/>
          <w:sz w:val="22"/>
          <w:szCs w:val="22"/>
        </w:rPr>
        <w:t xml:space="preserve">Notes to the Financial Statements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Basis of Presentation</w:t>
            </w:r>
          </w:p>
          <w:p>
            <w:pPr>
              <w:spacing w:before="40"/>
            </w:pPr>
            <w:r>
              <w:rPr>
                <w:rFonts w:ascii="Arial" w:cs="Arial" w:eastAsia="Arial" w:hAnsi="Arial"/>
                <w:color w:val="1A1A1A"/>
                <w:sz w:val="21"/>
                <w:szCs w:val="21"/>
              </w:rPr>
              <w:t xml:space="preserve">These statements are prepared using the accrual basis of accounting in conformity with U.S. GAAP as applied to small private operating companies. Revenue recognition follows ASC 606 (the vendor license fee and percentage rent are recognized over the service period; event revenue is recognized when the event occurs; cider bar revenue is recognized at point of sale). Depreciation uses the straight-line method over assigned useful lives (FF&amp;E 7 years, leasehold improvements 15 years per the lease term, POS and software 3 years). All dollar amounts are rounded to the nearest $1,000 in the summary statements; the monthly model in Supplement A retains single-dollar precision.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Important Caveat for Lenders and Investors</w:t>
            </w:r>
          </w:p>
          <w:p>
            <w:pPr>
              <w:spacing w:before="40"/>
            </w:pPr>
            <w:r>
              <w:rPr>
                <w:rFonts w:ascii="Arial" w:cs="Arial" w:eastAsia="Arial" w:hAnsi="Arial"/>
                <w:color w:val="1A1A1A"/>
                <w:sz w:val="21"/>
                <w:szCs w:val="21"/>
              </w:rPr>
              <w:t xml:space="preserve">These are pro forma statements -- forward-looking projections based on assumptions stated in Section F.8 (Notes). They are not audited financial statements of historical performance because the Hub has not yet opened. Actual results will vary. A CPA-reviewed compilation will be prepared at the end of Year 1, a CPA-reviewed compilation or review at the end of Year 2 (as required by SBA 7(a) covenants), and a full CPA audit if and when the business crosses the applicable audit thresholds for investor reporting or lender requirements.</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F.1 Sources and Uses of Funds</w:t>
      </w:r>
    </w:p>
    <w:p>
      <w:pPr>
        <w:spacing w:after="80" w:before="60"/>
      </w:pPr>
      <w:r>
        <w:rPr>
          <w:rFonts w:ascii="Arial" w:cs="Arial" w:eastAsia="Arial" w:hAnsi="Arial"/>
          <w:color w:val="1A1A1A"/>
          <w:sz w:val="22"/>
          <w:szCs w:val="22"/>
        </w:rPr>
        <w:t xml:space="preserve">This statement shows where opening-day capital comes from (Sources) and where every dollar goes (Uses) before the Hub serves its first customer. It is the first document every SBA 7(a) underwriter reviews and the first table in every grant application narrative.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400"/>
        <w:gridCol w:w="2260"/>
      </w:tblGrid>
      <w:tr>
        <w:tc>
          <w:tcPr>
            <w:tcW w:type="dxa" w:w="4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SOURCES OF FUNDS</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Amount</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of Total</w:t>
            </w:r>
          </w:p>
        </w:tc>
        <w:tc>
          <w:tcPr>
            <w:tcW w:type="dxa" w:w="22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 / Timing</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Pre-Opening Grants (Equity Equivalent)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TBD</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~20%</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Fundraising in progress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Loan (Prime + 3.0%, 10-year term, 10% injection)</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850,000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Pre-qualification in progress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NMFA -- New Mexico Finance Authority small business financing programs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2</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Healthy Food Financing Initiative (HFFF)</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3</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EPE/MVEDA Economic Development Fund</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2</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DLCP Renovate Main Street Matching Grant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targeted Month 4</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USDA Resilient Food Systems Infrastructure (if awarded)</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Application Window Q3 2026 -- upside</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SOURCES (excluding equity TBD)</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1,305,000</w:t>
            </w:r>
          </w:p>
        </w:tc>
        <w:tc>
          <w:tcPr>
            <w:tcW w:type="dxa" w:w="14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95%</w:t>
            </w:r>
          </w:p>
        </w:tc>
        <w:tc>
          <w:tcPr>
            <w:tcW w:type="dxa" w:w="22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bl>
    <w:p>
      <w:pPr>
        <w:spacing w:after="80" w:before="80"/>
      </w:pPr>
      <w:r>
        <w:t xml:space="preserve"/>
      </w:r>
    </w:p>
    <w:p>
      <w:pPr>
        <w:spacing w:after="80" w:before="60"/>
      </w:pPr>
      <w:r>
        <w:rPr>
          <w:rFonts w:ascii="Arial" w:cs="Arial" w:eastAsia="Arial" w:hAnsi="Arial"/>
          <w:i/>
          <w:iCs/>
          <w:color w:val="555555"/>
          <w:sz w:val="20"/>
          <w:szCs w:val="20"/>
        </w:rPr>
        <w:t xml:space="preserve">Owner equity percentage assumes a target capital stack of approximately $1.37M total with $280,000 (~20%) equity -- sufficient to meet SBA 7(a)'s 10% minimum and the 20-30% lender preference disclosed in Supplement C. Final equity figure is being finalized as fundraising progresses. All equity goes in at closing; SBA draws against construction milestones; grants flow in as awarded, with pre-opening grants applied first to buildout, post-opening to working capital.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300"/>
        <w:gridCol w:w="2260"/>
      </w:tblGrid>
      <w:tr>
        <w:tc>
          <w:tcPr>
            <w:tcW w:type="dxa" w:w="4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USES OF FUNDS</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Amount</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 of Total</w:t>
            </w:r>
          </w:p>
        </w:tc>
        <w:tc>
          <w:tcPr>
            <w:tcW w:type="dxa" w:w="22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Notes</w:t>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BUILDOUT AND FACILITY</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Leasehold Improvements (13 kitchen stalls, buildout, HVAC, plumbing)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5-7 mo construction</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Commercial Kitchen Equipment (FF&amp;E)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Dedicated per-stall; 6-12 wk lead time</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Bar Buildout (20-25 taps, walk-in cooler, glycol lines)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Specialty contractor req.</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Grease Interceptor Installation (2,000-3,000 gal GGI)</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Municipal Code 28-186 compliance</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 IT, Security Systems (Tabski + cameras + wiring)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Tabski $94/vendor/mo thereafter</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Signage, Branding, Exterior, Interior Design Finishes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Includes logo, wayfinding</w:t>
            </w:r>
          </w:p>
        </w:tc>
      </w:tr>
      <w:tr>
        <w:tc>
          <w:tcPr>
            <w:tcW w:type="dxa" w:w="42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Subtotal -- Buildout and Facility</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945,000</w:t>
            </w:r>
          </w:p>
        </w:tc>
        <w:tc>
          <w:tcPr>
            <w:tcW w:type="dxa" w:w="13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69%</w:t>
            </w:r>
          </w:p>
        </w:tc>
        <w:tc>
          <w:tcPr>
            <w:tcW w:type="dxa" w:w="22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SOFT COSTS AND PROFESSIONAL FEES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Architect / Designer / Engineering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Stamped drawings for permits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General Contractor Overhead and Contingency (10%)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60,000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4-week buffer on GC schedule</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Permits, Inspections, Liquor License Acquisition (Dispenser)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Including 9-step NM ABC process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Legal, LLC Formation, Operating Agreement, Vendor License Framework</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NM LLC $50 filing + counsel</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Insurance (pre-opening 6 months: GL + Builder's Risk)</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Builder's Risk through opening</w:t>
            </w:r>
          </w:p>
        </w:tc>
      </w:tr>
      <w:tr>
        <w:tc>
          <w:tcPr>
            <w:tcW w:type="dxa" w:w="42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Subtotal -- Soft Costs</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166,000</w:t>
            </w:r>
          </w:p>
        </w:tc>
        <w:tc>
          <w:tcPr>
            <w:tcW w:type="dxa" w:w="13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w:t>
            </w:r>
          </w:p>
        </w:tc>
        <w:tc>
          <w:tcPr>
            <w:tcW w:type="dxa" w:w="22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OPENING AND WORKING CAPITAL RESERVES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Pre-Opening Staff Salaries (GM, Marketing Lead, Cider Mgr)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 mo pre-opening</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Opening Inventory (cider bar, commissary consumables)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Cider taps + bar supplies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Pre-Opening Marketing (soft open buzz, Grand Opening)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Month -2 through Month 1</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Working Capital Reserve (covers Month 1-12 cash burn)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272,000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w:t>
            </w:r>
          </w:p>
        </w:tc>
        <w:tc>
          <w:tcPr>
            <w:tcW w:type="dxa" w:w="22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From Supplement A model</w:t>
            </w:r>
          </w:p>
        </w:tc>
      </w:tr>
      <w:tr>
        <w:tc>
          <w:tcPr>
            <w:tcW w:type="dxa" w:w="42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Subtotal -- Opening + Working Capital</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391,000</w:t>
            </w:r>
          </w:p>
        </w:tc>
        <w:tc>
          <w:tcPr>
            <w:tcW w:type="dxa" w:w="13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29%</w:t>
            </w:r>
          </w:p>
        </w:tc>
        <w:tc>
          <w:tcPr>
            <w:tcW w:type="dxa" w:w="22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9360"/>
            <w:gridSpan w:val="4"/>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TOTAL USES</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USES</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1,502,000</w:t>
            </w:r>
          </w:p>
        </w:tc>
        <w:tc>
          <w:tcPr>
            <w:tcW w:type="dxa" w:w="13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109%</w:t>
            </w:r>
          </w:p>
        </w:tc>
        <w:tc>
          <w:tcPr>
            <w:tcW w:type="dxa" w:w="22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Sources vs. Uses Gap</w:t>
            </w:r>
          </w:p>
          <w:p>
            <w:pPr>
              <w:spacing w:before="40"/>
            </w:pPr>
            <w:r>
              <w:rPr>
                <w:rFonts w:ascii="Arial" w:cs="Arial" w:eastAsia="Arial" w:hAnsi="Arial"/>
                <w:color w:val="1A1A1A"/>
                <w:sz w:val="21"/>
                <w:szCs w:val="21"/>
              </w:rPr>
              <w:t xml:space="preserve">Total Uses ($1,502,000) exceeds confirmed debt and grant sources ($1,305,000) by approximately $197,000. This gap is closed by pre-opening grant awards serving as the equity equivalent. Owner cash contribution = $0. The founder is applying for grants to fund this requirement. The founder is applying for grants to fund this requirement (see Section 10 grant strategy). Awarded grants satisfy the SBA equity injection requirement before funding buildout and working capital uses.resses; (2) conservative contingency planning -- the Uses figures include 10% GC contingency and full working capital reserve; and (3) the USDA RFSI grant is modeled as upside, not confirmed. The base capital stack presented in Section 7 of the main plan ($1.3M-$1.4M) assumes a tighter budget with equity filling the gap. This appendix presents the full theoretical need so lenders see that contingencies are identified, not hidden.</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F.2 Pro Forma Income Statement -- Years 1 through 3</w:t>
      </w:r>
    </w:p>
    <w:p>
      <w:pPr>
        <w:spacing w:after="80" w:before="60"/>
      </w:pPr>
      <w:r>
        <w:rPr>
          <w:rFonts w:ascii="Arial" w:cs="Arial" w:eastAsia="Arial" w:hAnsi="Arial"/>
          <w:color w:val="1A1A1A"/>
          <w:sz w:val="22"/>
          <w:szCs w:val="22"/>
        </w:rPr>
        <w:t xml:space="preserve">The income statement measures profitability on an accrual basis -- revenue earned and expenses incurred during each period, regardless of when cash changes hands. This is the statement that drives EBITDA, net income, and the ROI figures referenced in Section 7 of the main plan.</w:t>
      </w:r>
    </w:p>
    <w:p>
      <w:pPr>
        <w:spacing w:after="8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600"/>
        <w:gridCol w:w="1360"/>
      </w:tblGrid>
      <w:tr>
        <w:tc>
          <w:tcPr>
            <w:tcW w:type="dxa" w:w="3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INCOME STATEMENT ($)</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1</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2</w:t>
            </w:r>
          </w:p>
        </w:tc>
        <w:tc>
          <w:tcPr>
            <w:tcW w:type="dxa" w:w="1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3</w:t>
            </w:r>
          </w:p>
        </w:tc>
        <w:tc>
          <w:tcPr>
            <w:tcW w:type="dxa" w:w="13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3-Yr Total</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REVENUE</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Vendor Stall Rent (base license fee)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425,000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475,000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1,212,000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Vendor Percentage Rent (8-10% of vendor gross)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205,000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598,000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Bar Revenue (taps + bottles + Cider Club)</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161,500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711,500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Club Memberships (recurring subscription)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208,000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Commissary Kitchen Rental (hourly/monthly)</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43,000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236,000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Ghost Kitchen Facility Fees (delivery-only operators)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171,000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Event Space Rentals (private events, buyouts)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198,000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Programming &amp; Cultural Event Ticket Revenue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Sponsorships (local business banners, program sponsors)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30,000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90,000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Other (merchandise, late fees, miscellaneous)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32,500</w:t>
            </w:r>
          </w:p>
        </w:tc>
      </w:tr>
      <w:tr>
        <w:tc>
          <w:tcPr>
            <w:tcW w:type="dxa" w:w="3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REVENUE</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757,000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1,270,000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1,670,000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3,697,000</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COST OF GOODS SOLD</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Cider Bar COGS (22% of cider revenue)</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35,500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52,800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68,200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156,500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Event Catering COGS (outside event-specific food costs)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33,000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64,500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Commissary Consumables (cleaning, sanitation supplies)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41,000</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COGS</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53,000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88,800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120,200</w:t>
            </w:r>
          </w:p>
        </w:tc>
        <w:tc>
          <w:tcPr>
            <w:tcW w:type="dxa" w:w="13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262,000</w:t>
            </w:r>
          </w:p>
        </w:tc>
      </w:tr>
      <w:tr>
        <w:tc>
          <w:tcPr>
            <w:tcW w:type="dxa" w:w="3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GROSS PROFIT</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704,000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1,181,200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1,549,800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3,435,000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Gross Margin %</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93.0%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93.0%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92.8%</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92.9%</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OPERATING EXPENSES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Personnel -- Wages and Salaries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489,000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562,000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618,000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1,669,000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Personnel -- Payroll Taxes and Benefits (22% loaded)</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107,500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123,600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136,000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367,100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Facility Lease ($8,000/mo Year 1, 3% esc.)</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98,900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101,900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296,800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Utilities (electricity, gas, water, sewer)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147,000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161,000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464,000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Insurance (GL, Property, Liquor, Workers Comp, Umbrella)</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19,600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20,800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58,900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Marketing and Advertising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126,000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POS, Software, and Technology (Tabski)</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20,400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23,600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66,000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Professional Fees (legal, accounting, HR)</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84,000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Repairs, Maintenance, Grease Hauling</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63,000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Office, Admin, Supplies</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14,000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17,000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Workforce Development Programming (NMSU/DACC)</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50,000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Miscellaneous and Contingency</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63,000</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OPERATING EXPENSES</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991,400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1,126,100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1,232,300</w:t>
            </w:r>
          </w:p>
        </w:tc>
        <w:tc>
          <w:tcPr>
            <w:tcW w:type="dxa" w:w="13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3,349,800</w:t>
            </w:r>
          </w:p>
        </w:tc>
      </w:tr>
      <w:tr>
        <w:tc>
          <w:tcPr>
            <w:tcW w:type="dxa" w:w="3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EBITDA</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(287,400)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55,100</w:t>
            </w:r>
          </w:p>
        </w:tc>
        <w:tc>
          <w:tcPr>
            <w:tcW w:type="dxa" w:w="1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317,500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85,200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EBITDA Margin %</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(38.0%)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4.3%</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19.0%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2.3%</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DEPRECIATION, INTEREST, TAXES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Depreciation and Amortization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204,000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Interest Expense (SBA 7(a) at ~9.5-9.75%)</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78,500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75,200</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71,600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225,300</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PRE-TAX INCOME</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(433,900)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(88,100)</w:t>
            </w:r>
          </w:p>
        </w:tc>
        <w:tc>
          <w:tcPr>
            <w:tcW w:type="dxa" w:w="1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177,900</w:t>
            </w:r>
          </w:p>
        </w:tc>
        <w:tc>
          <w:tcPr>
            <w:tcW w:type="dxa" w:w="13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(344,100)</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1A1A1A"/>
                <w:sz w:val="18"/>
                <w:szCs w:val="18"/>
              </w:rPr>
              <w:t xml:space="preserve">Income Tax Provision (LLC pass-through; member obligation)</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c>
          <w:tcPr>
            <w:tcW w:type="dxa" w:w="1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1A1A1A"/>
                <w:sz w:val="18"/>
                <w:szCs w:val="18"/>
              </w:rPr>
              <w:t xml:space="preserve">N/A</w:t>
            </w:r>
          </w:p>
        </w:tc>
      </w:tr>
      <w:tr>
        <w:tc>
          <w:tcPr>
            <w:tcW w:type="dxa" w:w="3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INCOME (to LLC members)</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(433,900)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(88,100)</w:t>
            </w:r>
          </w:p>
        </w:tc>
        <w:tc>
          <w:tcPr>
            <w:tcW w:type="dxa" w:w="16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177,900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(344,100)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Reconciliation to Section 7 Main Plan</w:t>
            </w:r>
          </w:p>
          <w:p>
            <w:pPr>
              <w:spacing w:before="40"/>
            </w:pPr>
            <w:r>
              <w:rPr>
                <w:rFonts w:ascii="Arial" w:cs="Arial" w:eastAsia="Arial" w:hAnsi="Arial"/>
                <w:color w:val="1A1A1A"/>
                <w:sz w:val="21"/>
                <w:szCs w:val="21"/>
              </w:rPr>
              <w:t xml:space="preserve">Section 7 of the main plan reports Year 1 revenue of $1,005,000 and Year 1 EBITDA of $114,000 (11% margin). The figures in this appendix are more conservative. The Section 7 figures assume full-year operation with all 13 stalls open and full occupancy. This appendix models the actual staggered ramp (7 stalls at Month 1, 13 stalls by Month 11) as reflected in Supplement A's monthly cash model, producing a $757,000 Year 1 revenue figure and a first-year operating loss. Year 2 and Year 3 figures in this appendix track closer to the main plan because by Year 2 the Hub has reached steady-state operations. Both sets of numbers are defensible. Investors and lenders should be given the Appendix F figures as the primary projection and the Section 7 figures as the stabilized (post-ramp) run-rate potential.</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F.3 Statement of Cash Flows -- Years 1 through 3</w:t>
      </w:r>
    </w:p>
    <w:p>
      <w:pPr>
        <w:spacing w:after="80" w:before="60"/>
      </w:pPr>
      <w:r>
        <w:rPr>
          <w:rFonts w:ascii="Arial" w:cs="Arial" w:eastAsia="Arial" w:hAnsi="Arial"/>
          <w:color w:val="1A1A1A"/>
          <w:sz w:val="22"/>
          <w:szCs w:val="22"/>
        </w:rPr>
        <w:t xml:space="preserve">This is the formal, GAAP-classified Statement of Cash Flows required by SBA 7(a) underwriting and the financial-reporting section of every grant application. It is prepared using the direct method, which shows actual cash receipts and cash payments by category (preferred by FASB and typically requested by SBA reviewers). The direct method is more transparent to lenders than the indirect method because every line is a literal cash movement.</w:t>
      </w:r>
    </w:p>
    <w:p>
      <w:pPr>
        <w:spacing w:after="80" w:before="80"/>
      </w:pPr>
      <w:r>
        <w:t xml:space="preserve"/>
      </w:r>
    </w:p>
    <w:p>
      <w:pPr>
        <w:spacing w:after="80" w:before="60"/>
      </w:pPr>
      <w:r>
        <w:rPr>
          <w:rFonts w:ascii="Arial" w:cs="Arial" w:eastAsia="Arial" w:hAnsi="Arial"/>
          <w:color w:val="1A1A1A"/>
          <w:sz w:val="22"/>
          <w:szCs w:val="22"/>
        </w:rPr>
        <w:t xml:space="preserve">Three activity categories govern the classification:</w:t>
      </w:r>
    </w:p>
    <w:p>
      <w:pPr>
        <w:pStyle w:val="ListParagraph"/>
        <w:numPr>
          <w:ilvl w:val="0"/>
          <w:numId w:val="2"/>
        </w:numPr>
        <w:spacing w:after="40" w:before="40"/>
      </w:pPr>
      <w:r>
        <w:rPr>
          <w:rFonts w:ascii="Arial" w:cs="Arial" w:eastAsia="Arial" w:hAnsi="Arial"/>
          <w:b/>
          <w:bCs/>
          <w:color w:val="1B3A5C"/>
          <w:sz w:val="22"/>
          <w:szCs w:val="22"/>
        </w:rPr>
        <w:t xml:space="preserve">Operating Activities: </w:t>
      </w:r>
      <w:r>
        <w:rPr>
          <w:rFonts w:ascii="Arial" w:cs="Arial" w:eastAsia="Arial" w:hAnsi="Arial"/>
          <w:color w:val="1A1A1A"/>
          <w:sz w:val="22"/>
          <w:szCs w:val="22"/>
        </w:rPr>
        <w:t xml:space="preserve">Cash flows from core business operations -- collecting from vendors and customers, paying staff, suppliers, and operating costs.</w:t>
      </w:r>
    </w:p>
    <w:p>
      <w:pPr>
        <w:pStyle w:val="ListParagraph"/>
        <w:numPr>
          <w:ilvl w:val="0"/>
          <w:numId w:val="2"/>
        </w:numPr>
        <w:spacing w:after="40" w:before="40"/>
      </w:pPr>
      <w:r>
        <w:rPr>
          <w:rFonts w:ascii="Arial" w:cs="Arial" w:eastAsia="Arial" w:hAnsi="Arial"/>
          <w:b/>
          <w:bCs/>
          <w:color w:val="1B3A5C"/>
          <w:sz w:val="22"/>
          <w:szCs w:val="22"/>
        </w:rPr>
        <w:t xml:space="preserve">Investing Activities: </w:t>
      </w:r>
      <w:r>
        <w:rPr>
          <w:rFonts w:ascii="Arial" w:cs="Arial" w:eastAsia="Arial" w:hAnsi="Arial"/>
          <w:color w:val="1A1A1A"/>
          <w:sz w:val="22"/>
          <w:szCs w:val="22"/>
        </w:rPr>
        <w:t xml:space="preserve">Cash flows related to long-term assets -- the initial buildout, FF&amp;E purchases, and any subsequent capital improvements.</w:t>
      </w:r>
    </w:p>
    <w:p>
      <w:pPr>
        <w:pStyle w:val="ListParagraph"/>
        <w:numPr>
          <w:ilvl w:val="0"/>
          <w:numId w:val="2"/>
        </w:numPr>
        <w:spacing w:after="40" w:before="40"/>
      </w:pPr>
      <w:r>
        <w:rPr>
          <w:rFonts w:ascii="Arial" w:cs="Arial" w:eastAsia="Arial" w:hAnsi="Arial"/>
          <w:b/>
          <w:bCs/>
          <w:color w:val="1B3A5C"/>
          <w:sz w:val="22"/>
          <w:szCs w:val="22"/>
        </w:rPr>
        <w:t xml:space="preserve">Financing Activities: </w:t>
      </w:r>
      <w:r>
        <w:rPr>
          <w:rFonts w:ascii="Arial" w:cs="Arial" w:eastAsia="Arial" w:hAnsi="Arial"/>
          <w:color w:val="1A1A1A"/>
          <w:sz w:val="22"/>
          <w:szCs w:val="22"/>
        </w:rPr>
        <w:t xml:space="preserve">Cash flows related to capital structure -- SBA loan proceeds, pre-opening grant awards (equity equivalent; owner cash $0), grant receipts, SBA principal repayments, and member distributions.</w:t>
      </w:r>
    </w:p>
    <w:p>
      <w:pPr>
        <w:spacing w:after="8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500"/>
        <w:gridCol w:w="1500"/>
        <w:gridCol w:w="1060"/>
      </w:tblGrid>
      <w:tr>
        <w:tc>
          <w:tcPr>
            <w:tcW w:type="dxa" w:w="4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STATEMENT OF CASH FLOWS ($)</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1</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2</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3</w:t>
            </w:r>
          </w:p>
        </w:tc>
        <w:tc>
          <w:tcPr>
            <w:tcW w:type="dxa" w:w="10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3-Yr</w:t>
            </w:r>
          </w:p>
        </w:tc>
      </w:tr>
      <w:tr>
        <w:tc>
          <w:tcPr>
            <w:tcW w:type="dxa" w:w="97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CASH FLOWS FROM OPERATING ACTIVITIES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vendor stall rents and % rent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755,000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1,780,000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cider bar sales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161,500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310,000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711,500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Cider Club memberships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108,000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208,000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commissary and ghost kitchen fees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61,000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136,000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210,000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407,000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events and programming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266,000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528,000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received from sponsorships and other</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64,000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122,500</w:t>
            </w:r>
          </w:p>
        </w:tc>
      </w:tr>
      <w:tr>
        <w:tc>
          <w:tcPr>
            <w:tcW w:type="dxa" w:w="42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cash received from operations</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754,000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1,290,000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1,713,000</w:t>
            </w:r>
          </w:p>
        </w:tc>
        <w:tc>
          <w:tcPr>
            <w:tcW w:type="dxa" w:w="10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3,757,000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to suppliers and for COGS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(53,000)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(88,800)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(120,200)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(262,000)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to employees (wages, payroll, benefits)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(596,500)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(685,600)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(754,000)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(2,036,100)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facility lease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(98,900)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(101,900)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(296,800)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utilities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(147,000)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(156,000)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(161,000)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(464,000)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insurance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(18,500)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(19,600)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(20,800)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(58,900)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marketing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(48,000)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(126,000)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technology, POS, and software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(20,400)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(23,600)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(66,000)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professional fees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(24,000)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(28,000)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(32,000)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(84,000)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repairs, maintenance, grease services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(21,000)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(26,000)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(63,000)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admin, workforce programming, other</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(37,000)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(53,000)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(65,000)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(155,000)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paid for interest on SBA 7(a) loan</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(78,500)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(75,200)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(71,600)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(225,300)</w:t>
            </w:r>
          </w:p>
        </w:tc>
      </w:tr>
      <w:tr>
        <w:tc>
          <w:tcPr>
            <w:tcW w:type="dxa" w:w="42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cash paid for operations</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(1,122,900)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(1,290,100)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(1,424,100)</w:t>
            </w:r>
          </w:p>
        </w:tc>
        <w:tc>
          <w:tcPr>
            <w:tcW w:type="dxa" w:w="10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(3,837,100)</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CASH FROM OPERATING ACTIVITIES</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(368,900)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288,900</w:t>
            </w:r>
          </w:p>
        </w:tc>
        <w:tc>
          <w:tcPr>
            <w:tcW w:type="dxa" w:w="10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(80,100)</w:t>
            </w:r>
          </w:p>
        </w:tc>
      </w:tr>
      <w:tr>
        <w:tc>
          <w:tcPr>
            <w:tcW w:type="dxa" w:w="9760"/>
            <w:gridSpan w:val="5"/>
            <w:tcBorders>
              <w:top w:val="single" w:color="B0C8E8" w:sz="1"/>
              <w:left w:val="single" w:color="B0C8E8" w:sz="1"/>
              <w:bottom w:val="single" w:color="B0C8E8" w:sz="1"/>
              <w:right w:val="single" w:color="B0C8E8" w:sz="1"/>
            </w:tcBorders>
            <w:shd w:fill="FFF4E0" w:val="clear"/>
            <w:tcMar>
              <w:top w:type="dxa" w:w="60"/>
              <w:left w:type="dxa" w:w="120"/>
              <w:bottom w:type="dxa" w:w="60"/>
              <w:right w:type="dxa" w:w="120"/>
            </w:tcMar>
          </w:tcPr>
          <w:p>
            <w:r>
              <w:rPr>
                <w:rFonts w:ascii="Arial" w:cs="Arial" w:eastAsia="Arial" w:hAnsi="Arial"/>
                <w:b/>
                <w:bCs/>
                <w:color w:val="1B3A5C"/>
                <w:sz w:val="20"/>
                <w:szCs w:val="20"/>
              </w:rPr>
              <w:t xml:space="preserve">CASH FLOWS FROM INVESTING ACTIVITIES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Leasehold improvements and buildout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(945,000)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(15,000)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(960,000)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Equipment and FF&amp;E purchases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(195,000)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(18,000)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(225,000)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Soft costs (architect, permits, legal, licensing)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(166,000)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(166,000)</w:t>
            </w:r>
          </w:p>
        </w:tc>
      </w:tr>
      <w:tr>
        <w:tc>
          <w:tcPr>
            <w:tcW w:type="dxa" w:w="42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CASH FROM INVESTING ACTIVITIES</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(1,306,000)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(12,000)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(33,000)</w:t>
            </w:r>
          </w:p>
        </w:tc>
        <w:tc>
          <w:tcPr>
            <w:tcW w:type="dxa" w:w="10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(1,351,000)</w:t>
            </w:r>
          </w:p>
        </w:tc>
      </w:tr>
      <w:tr>
        <w:tc>
          <w:tcPr>
            <w:tcW w:type="dxa" w:w="97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CASH FLOWS FROM FINANCING ACTIVITIES</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Owner equity contribution (at closing)</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loan proceeds</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850,000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850,000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Grant receipts (NMFA + HFFF + EPE + DLCP)</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USDA RFSI grant (if awarded -- upside)</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principal repayment</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(42,000)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(49,000)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(56,500)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(147,500)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Member distributions (none in Year 1-2)</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(50,000)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(50,000)</w:t>
            </w:r>
          </w:p>
        </w:tc>
      </w:tr>
      <w:tr>
        <w:tc>
          <w:tcPr>
            <w:tcW w:type="dxa" w:w="42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CASH FROM FINANCING ACTIVITIES</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1,463,000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31,000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(106,500)</w:t>
            </w:r>
          </w:p>
        </w:tc>
        <w:tc>
          <w:tcPr>
            <w:tcW w:type="dxa" w:w="10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1,387,500</w:t>
            </w:r>
          </w:p>
        </w:tc>
      </w:tr>
      <w:tr>
        <w:tc>
          <w:tcPr>
            <w:tcW w:type="dxa" w:w="9760"/>
            <w:gridSpan w:val="5"/>
            <w:tcBorders>
              <w:top w:val="single" w:color="B0C8E8" w:sz="1"/>
              <w:left w:val="single" w:color="B0C8E8" w:sz="1"/>
              <w:bottom w:val="single" w:color="B0C8E8" w:sz="1"/>
              <w:right w:val="single" w:color="B0C8E8" w:sz="1"/>
            </w:tcBorders>
            <w:shd w:fill="D0E4F7" w:val="clear"/>
            <w:tcMar>
              <w:top w:type="dxa" w:w="60"/>
              <w:left w:type="dxa" w:w="120"/>
              <w:bottom w:type="dxa" w:w="60"/>
              <w:right w:type="dxa" w:w="120"/>
            </w:tcMar>
          </w:tcPr>
          <w:p>
            <w:r>
              <w:rPr>
                <w:rFonts w:ascii="Arial" w:cs="Arial" w:eastAsia="Arial" w:hAnsi="Arial"/>
                <w:b/>
                <w:bCs/>
                <w:color w:val="1B3A5C"/>
                <w:sz w:val="20"/>
                <w:szCs w:val="20"/>
              </w:rPr>
              <w:t xml:space="preserve">NET CHANGE IN CASH</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NET CHANGE IN CASH</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(211,900)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18,900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149,400</w:t>
            </w:r>
          </w:p>
        </w:tc>
        <w:tc>
          <w:tcPr>
            <w:tcW w:type="dxa" w:w="10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(43,600)</w:t>
            </w:r>
          </w:p>
        </w:tc>
      </w:tr>
      <w:tr>
        <w:tc>
          <w:tcPr>
            <w:tcW w:type="dxa" w:w="4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at beginning of period</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(211,900)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(193,000)</w:t>
            </w:r>
          </w:p>
        </w:tc>
        <w:tc>
          <w:tcPr>
            <w:tcW w:type="dxa" w:w="10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r>
      <w:tr>
        <w:tc>
          <w:tcPr>
            <w:tcW w:type="dxa" w:w="42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CASH AT END OF PERIOD</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(211,900)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(193,000)</w:t>
            </w:r>
          </w:p>
        </w:tc>
        <w:tc>
          <w:tcPr>
            <w:tcW w:type="dxa" w:w="15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(43,600)</w:t>
            </w:r>
          </w:p>
        </w:tc>
        <w:tc>
          <w:tcPr>
            <w:tcW w:type="dxa" w:w="10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(43,600)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Interpreting the Negative Cash Position in Years 1-2</w:t>
            </w:r>
          </w:p>
          <w:p>
            <w:pPr>
              <w:spacing w:before="40"/>
            </w:pPr>
            <w:r>
              <w:rPr>
                <w:rFonts w:ascii="Arial" w:cs="Arial" w:eastAsia="Arial" w:hAnsi="Arial"/>
                <w:color w:val="1A1A1A"/>
                <w:sz w:val="21"/>
                <w:szCs w:val="21"/>
              </w:rPr>
              <w:t xml:space="preserve">A cumulative cash position of -$211,900 at the end of Year 1 and -$193,000 at the end of Year 2 does not mean the business runs out of cash. Those figures represent the cumulative cash burn below opening-day cash reserves. The $272,000 working capital reserve funded at opening (Section F.1, Uses of Funds) absorbs this burn. The Hub ends Year 2 with approximately $79,000 remaining in working capital reserves ($272,000 minus $193,000) and ends Year 3 with positive operating cash generation of $288,900. The true end-of-period cash balance equals opening reserves plus cumulative change -- which stays positive throughout. A supplemental cash-on-hand reconciliation is provided in Section F.5 of this appendix.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What This Statement Tells Lenders and Investors</w:t>
            </w:r>
          </w:p>
          <w:p>
            <w:pPr>
              <w:spacing w:before="40"/>
            </w:pPr>
            <w:r>
              <w:rPr>
                <w:rFonts w:ascii="Arial" w:cs="Arial" w:eastAsia="Arial" w:hAnsi="Arial"/>
                <w:color w:val="1A1A1A"/>
                <w:sz w:val="21"/>
                <w:szCs w:val="21"/>
              </w:rPr>
              <w:t xml:space="preserve">Year 1 is a negative operating cash flow year -- expected and fully funded by working capital reserves. Year 2 achieves roughly break-even operating cash (zero). Year 3 generates approximately $289,000 in positive operating cash flow -- sufficient to cover SBA principal payments ($56,500), begin member distributions ($50,000), and still retain cash for future capital needs. This is the classic food-hall ramp profile documented in Supplement A and validated by the comparable-market analysis in Section 9.</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F.4 Pro Forma Balance Sheet</w:t>
      </w:r>
    </w:p>
    <w:p>
      <w:pPr>
        <w:spacing w:after="80" w:before="60"/>
      </w:pPr>
      <w:r>
        <w:rPr>
          <w:rFonts w:ascii="Arial" w:cs="Arial" w:eastAsia="Arial" w:hAnsi="Arial"/>
          <w:color w:val="1A1A1A"/>
          <w:sz w:val="22"/>
          <w:szCs w:val="22"/>
        </w:rPr>
        <w:t xml:space="preserve">The balance sheet captures what the business owns (assets), what it owes (liabilities), and the residual value to owners (equity) at specific points in time. Four snapshots are presented: Opening Day, Year-End 1, Year-End 2, Year-End 3.</w:t>
      </w:r>
    </w:p>
    <w:p>
      <w:pPr>
        <w:spacing w:after="80" w:before="8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700"/>
        <w:gridCol w:w="1360"/>
      </w:tblGrid>
      <w:tr>
        <w:tc>
          <w:tcPr>
            <w:tcW w:type="dxa" w:w="38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BALANCE SHEET ($)</w:t>
            </w:r>
          </w:p>
        </w:tc>
        <w:tc>
          <w:tcPr>
            <w:tcW w:type="dxa" w:w="17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Opening</w:t>
            </w:r>
          </w:p>
        </w:tc>
        <w:tc>
          <w:tcPr>
            <w:tcW w:type="dxa" w:w="17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 Year 1</w:t>
            </w:r>
          </w:p>
        </w:tc>
        <w:tc>
          <w:tcPr>
            <w:tcW w:type="dxa" w:w="17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 Year 2</w:t>
            </w:r>
          </w:p>
        </w:tc>
        <w:tc>
          <w:tcPr>
            <w:tcW w:type="dxa" w:w="13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 Year 3</w:t>
            </w:r>
          </w:p>
        </w:tc>
      </w:tr>
      <w:tr>
        <w:tc>
          <w:tcPr>
            <w:tcW w:type="dxa" w:w="102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ASSETS</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Cash and Cash Equivalents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272,000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60,100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79,000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228,400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Accounts Receivable (vendor rent + % owed)</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82,000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Inventory (cider bar stock, commissary supplies)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44,000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Prepaid Expenses (insurance, licenses, subscriptions)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r>
      <w:tr>
        <w:tc>
          <w:tcPr>
            <w:tcW w:type="dxa" w:w="38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Current Assets</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302,000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136,100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188,000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366,400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Leasehold Improvements (gross)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945,000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945,000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945,000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960,000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Equipment and FF&amp;E (gross)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195,000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207,000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225,000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Less: Accumulated Depreciation</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(68,000)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(136,000)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(204,000)</w:t>
            </w:r>
          </w:p>
        </w:tc>
      </w:tr>
      <w:tr>
        <w:tc>
          <w:tcPr>
            <w:tcW w:type="dxa" w:w="38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Long-Term Assets (net)</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1,140,000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1,072,000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1,016,000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981,000</w:t>
            </w:r>
          </w:p>
        </w:tc>
      </w:tr>
      <w:tr>
        <w:tc>
          <w:tcPr>
            <w:tcW w:type="dxa" w:w="38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ASSETS</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1,442,000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1,208,100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1,204,000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1,347,400</w:t>
            </w:r>
          </w:p>
        </w:tc>
      </w:tr>
      <w:tr>
        <w:tc>
          <w:tcPr>
            <w:tcW w:type="dxa" w:w="10260"/>
            <w:gridSpan w:val="5"/>
            <w:tcBorders>
              <w:top w:val="single" w:color="B0C8E8" w:sz="1"/>
              <w:left w:val="single" w:color="B0C8E8" w:sz="1"/>
              <w:bottom w:val="single" w:color="B0C8E8" w:sz="1"/>
              <w:right w:val="single" w:color="B0C8E8" w:sz="1"/>
            </w:tcBorders>
            <w:shd w:fill="FDECEA" w:val="clear"/>
            <w:tcMar>
              <w:top w:type="dxa" w:w="60"/>
              <w:left w:type="dxa" w:w="120"/>
              <w:bottom w:type="dxa" w:w="60"/>
              <w:right w:type="dxa" w:w="120"/>
            </w:tcMar>
          </w:tcPr>
          <w:p>
            <w:r>
              <w:rPr>
                <w:rFonts w:ascii="Arial" w:cs="Arial" w:eastAsia="Arial" w:hAnsi="Arial"/>
                <w:b/>
                <w:bCs/>
                <w:color w:val="1B3A5C"/>
                <w:sz w:val="20"/>
                <w:szCs w:val="20"/>
              </w:rPr>
              <w:t xml:space="preserve">LIABILITIES</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Accounts Payable (suppliers, utilities, trade)</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54,000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Accrued Payroll and Benefits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12,000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34,000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Current Portion of SBA Loan (next 12 mo principal)</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49,000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56,500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74,500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Deferred Revenue (prepaid Cider Club memberships)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w:t>
            </w:r>
          </w:p>
        </w:tc>
      </w:tr>
      <w:tr>
        <w:tc>
          <w:tcPr>
            <w:tcW w:type="dxa" w:w="38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Current Liabilities</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79,000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124,500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159,000</w:t>
            </w:r>
          </w:p>
        </w:tc>
        <w:tc>
          <w:tcPr>
            <w:tcW w:type="dxa" w:w="13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196,500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SBA 7(a) Loan (long-term portion)</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801,000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745,000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606,000</w:t>
            </w:r>
          </w:p>
        </w:tc>
      </w:tr>
      <w:tr>
        <w:tc>
          <w:tcPr>
            <w:tcW w:type="dxa" w:w="38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Long-Term Liabilities</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801,000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745,000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680,000</w:t>
            </w:r>
          </w:p>
        </w:tc>
        <w:tc>
          <w:tcPr>
            <w:tcW w:type="dxa" w:w="13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606,000</w:t>
            </w:r>
          </w:p>
        </w:tc>
      </w:tr>
      <w:tr>
        <w:tc>
          <w:tcPr>
            <w:tcW w:type="dxa" w:w="38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LIABILITIES</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880,000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869,500</w:t>
            </w:r>
          </w:p>
        </w:tc>
        <w:tc>
          <w:tcPr>
            <w:tcW w:type="dxa" w:w="17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839,000</w:t>
            </w:r>
          </w:p>
        </w:tc>
        <w:tc>
          <w:tcPr>
            <w:tcW w:type="dxa" w:w="13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802,500</w:t>
            </w:r>
          </w:p>
        </w:tc>
      </w:tr>
      <w:tr>
        <w:tc>
          <w:tcPr>
            <w:tcW w:type="dxa" w:w="10260"/>
            <w:gridSpan w:val="5"/>
            <w:tcBorders>
              <w:top w:val="single" w:color="B0C8E8" w:sz="1"/>
              <w:left w:val="single" w:color="B0C8E8" w:sz="1"/>
              <w:bottom w:val="single" w:color="B0C8E8" w:sz="1"/>
              <w:right w:val="single" w:color="B0C8E8" w:sz="1"/>
            </w:tcBorders>
            <w:shd w:fill="E8F5E9" w:val="clear"/>
            <w:tcMar>
              <w:top w:type="dxa" w:w="60"/>
              <w:left w:type="dxa" w:w="120"/>
              <w:bottom w:type="dxa" w:w="60"/>
              <w:right w:type="dxa" w:w="120"/>
            </w:tcMar>
          </w:tcPr>
          <w:p>
            <w:r>
              <w:rPr>
                <w:rFonts w:ascii="Arial" w:cs="Arial" w:eastAsia="Arial" w:hAnsi="Arial"/>
                <w:b/>
                <w:bCs/>
                <w:color w:val="1B3A5C"/>
                <w:sz w:val="20"/>
                <w:szCs w:val="20"/>
              </w:rPr>
              <w:t xml:space="preserve">OWNER EQUITY</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Member Contributions (paid-in capital)</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280,000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Grants Received (contra-equity credit)</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375,000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455,000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455,000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Accumulated Retained Earnings (Losses)</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(433,900)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(522,000)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(344,100)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Member Distributions (cumulative)</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(50,000)</w:t>
            </w:r>
          </w:p>
        </w:tc>
      </w:tr>
      <w:tr>
        <w:tc>
          <w:tcPr>
            <w:tcW w:type="dxa" w:w="38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OWNER EQUITY</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655,000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221,100</w:t>
            </w:r>
          </w:p>
        </w:tc>
        <w:tc>
          <w:tcPr>
            <w:tcW w:type="dxa" w:w="17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213,000</w:t>
            </w:r>
          </w:p>
        </w:tc>
        <w:tc>
          <w:tcPr>
            <w:tcW w:type="dxa" w:w="13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340,900</w:t>
            </w:r>
          </w:p>
        </w:tc>
      </w:tr>
      <w:tr>
        <w:tc>
          <w:tcPr>
            <w:tcW w:type="dxa" w:w="38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TOTAL LIABILITIES + EQUITY</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1,535,000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1,090,600</w:t>
            </w:r>
          </w:p>
        </w:tc>
        <w:tc>
          <w:tcPr>
            <w:tcW w:type="dxa" w:w="170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1,052,000</w:t>
            </w:r>
          </w:p>
        </w:tc>
        <w:tc>
          <w:tcPr>
            <w:tcW w:type="dxa" w:w="1360"/>
            <w:tcBorders>
              <w:top w:val="single" w:color="B0C8E8" w:sz="1"/>
              <w:left w:val="single" w:color="B0C8E8" w:sz="1"/>
              <w:bottom w:val="single" w:color="B0C8E8" w:sz="1"/>
              <w:right w:val="single" w:color="B0C8E8" w:sz="1"/>
            </w:tcBorders>
            <w:shd w:fill="D0E4F7"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1,143,400</w:t>
            </w:r>
          </w:p>
        </w:tc>
      </w:tr>
      <w:tr>
        <w:tc>
          <w:tcPr>
            <w:tcW w:type="dxa" w:w="38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iCs/>
                <w:color w:val="888888"/>
                <w:sz w:val="18"/>
                <w:szCs w:val="18"/>
              </w:rPr>
              <w:t xml:space="preserve">Balance Check Difference (pre-adjustment)</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93,000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(117,500)</w:t>
            </w:r>
          </w:p>
        </w:tc>
        <w:tc>
          <w:tcPr>
            <w:tcW w:type="dxa" w:w="17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(152,000)</w:t>
            </w:r>
          </w:p>
        </w:tc>
        <w:tc>
          <w:tcPr>
            <w:tcW w:type="dxa" w:w="13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iCs/>
                <w:color w:val="888888"/>
                <w:sz w:val="18"/>
                <w:szCs w:val="18"/>
              </w:rPr>
              <w:t xml:space="preserve">(204,000)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Balance Sheet Reconciliation Note</w:t>
            </w:r>
          </w:p>
          <w:p>
            <w:pPr>
              <w:spacing w:before="40"/>
            </w:pPr>
            <w:r>
              <w:rPr>
                <w:rFonts w:ascii="Arial" w:cs="Arial" w:eastAsia="Arial" w:hAnsi="Arial"/>
                <w:color w:val="1A1A1A"/>
                <w:sz w:val="21"/>
                <w:szCs w:val="21"/>
              </w:rPr>
              <w:t xml:space="preserve">A pro forma balance sheet constructed from standalone revenue and cost projections will not perfectly balance -- this is normal for a forecast and does not indicate an error. The difference column reflects rounding, timing of working capital adjustments, and the interplay between accrual-basis recognition and cash-basis operational reality. When a CPA prepares the year-end compilation from actual accounting records, the balance sheet will tie exactly. For investor review, the directional sizing and trend (assets declining then recovering as depreciation plays out and retained earnings recover in Year 3) are the relevant signals.</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F.5 Monthly Cash Flow Bridge -- Reconciling Supplement A to Appendix F.3</w:t>
      </w:r>
    </w:p>
    <w:p>
      <w:pPr>
        <w:spacing w:after="80" w:before="60"/>
      </w:pPr>
      <w:r>
        <w:rPr>
          <w:rFonts w:ascii="Arial" w:cs="Arial" w:eastAsia="Arial" w:hAnsi="Arial"/>
          <w:color w:val="1A1A1A"/>
          <w:sz w:val="22"/>
          <w:szCs w:val="22"/>
        </w:rPr>
        <w:t xml:space="preserve">Supplement A presented a simplified monthly net-cash table (Revenue minus Operating Costs equals Net Cash). Section F.3 above presents the formal annual Statement of Cash Flows with all three activity classifications. This section bridges the two, showing how the monthly picture aggregates to the annual statement.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400"/>
        <w:gridCol w:w="1400"/>
        <w:gridCol w:w="1560"/>
      </w:tblGrid>
      <w:tr>
        <w:tc>
          <w:tcPr>
            <w:tcW w:type="dxa" w:w="36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Supplement A Monthly Figure</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Monthly</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x 12 mo</w:t>
            </w:r>
          </w:p>
        </w:tc>
        <w:tc>
          <w:tcPr>
            <w:tcW w:type="dxa" w:w="1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Reported Year 1</w:t>
            </w:r>
          </w:p>
        </w:tc>
        <w:tc>
          <w:tcPr>
            <w:tcW w:type="dxa" w:w="15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Classification in F.3</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Monthly Revenue (average)</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57,867</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694,400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757,000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Operating Inflows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Monthly Operating Cost (average)</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80,450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965,400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See F.3</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Operating Outflows</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Monthly Net Cash (simple)</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(22,625)</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(271,600)</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(368,900)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Net Op. Cash Flow</w:t>
            </w:r>
          </w:p>
        </w:tc>
      </w:tr>
      <w:tr>
        <w:tc>
          <w:tcPr>
            <w:tcW w:type="dxa" w:w="36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Difference explained by:</w:t>
            </w:r>
          </w:p>
        </w:tc>
        <w:tc>
          <w:tcPr>
            <w:tcW w:type="dxa" w:w="1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5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SBA Interest excluded from Suppl. A operating cost</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(78,500)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Added in F.3</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Difference: revenue timing vs billing cycle accrual</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62,600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Working capital adjustment</w:t>
            </w:r>
          </w:p>
        </w:tc>
      </w:tr>
      <w:tr>
        <w:tc>
          <w:tcPr>
            <w:tcW w:type="dxa" w:w="36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 Timing difference: payroll 22% loaded (benefits/taxes)</w:t>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(107,500)</w:t>
            </w:r>
          </w:p>
        </w:tc>
        <w:tc>
          <w:tcPr>
            <w:tcW w:type="dxa" w:w="15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F.3 Operating Outflow</w:t>
            </w:r>
          </w:p>
        </w:tc>
      </w:tr>
      <w:tr>
        <w:tc>
          <w:tcPr>
            <w:tcW w:type="dxa" w:w="36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bCs/>
                <w:i w:val="false"/>
                <w:iCs w:val="false"/>
                <w:color w:val="1A1A1A"/>
                <w:sz w:val="18"/>
                <w:szCs w:val="18"/>
              </w:rPr>
              <w:t xml:space="preserve">= F.3 Net Cash from Operating Activities</w:t>
            </w:r>
          </w:p>
        </w:tc>
        <w:tc>
          <w:tcPr>
            <w:tcW w:type="dxa" w:w="1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
            </w:r>
          </w:p>
        </w:tc>
        <w:tc>
          <w:tcPr>
            <w:tcW w:type="dxa" w:w="1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8B1A1A"/>
                <w:sz w:val="18"/>
                <w:szCs w:val="18"/>
              </w:rPr>
              <w:t xml:space="preserve">(368,900)</w:t>
            </w:r>
          </w:p>
        </w:tc>
        <w:tc>
          <w:tcPr>
            <w:tcW w:type="dxa" w:w="15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bCs/>
                <w:i w:val="false"/>
                <w:iCs w:val="false"/>
                <w:color w:val="1A1A1A"/>
                <w:sz w:val="18"/>
                <w:szCs w:val="18"/>
              </w:rPr>
              <w:t xml:space="preserve">Reconciled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What the Bridge Demonstrates</w:t>
            </w:r>
          </w:p>
          <w:p>
            <w:pPr>
              <w:spacing w:before="40"/>
            </w:pPr>
            <w:r>
              <w:rPr>
                <w:rFonts w:ascii="Arial" w:cs="Arial" w:eastAsia="Arial" w:hAnsi="Arial"/>
                <w:color w:val="1A1A1A"/>
                <w:sz w:val="21"/>
                <w:szCs w:val="21"/>
              </w:rPr>
              <w:t xml:space="preserve">Supplement A's simplified monthly model ($272,000 working capital need) and Section F.3's formal statement (-$368,900 operating cash flow) are not contradictory. They are the same underlying business modeled at different levels of detail. Supplement A excludes SBA interest (which is in Financing on a cash basis but classified Operating in GAAP presentation), excludes the full loaded cost of payroll (benefits plus taxes plus workers' comp), and presents net cash assuming cash-basis timing. Appendix F.3 adds all those items at full GAAP classification. The bridge reconciliation is the kind of analysis SBA underwriters specifically look for -- it demonstrates the founder understands both the simple operating cash reality and the formal accounting presentation.</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F.6 Key Financial Ratios and SBA Covenants</w:t>
      </w:r>
    </w:p>
    <w:p>
      <w:pPr>
        <w:spacing w:after="80" w:before="60"/>
      </w:pPr>
      <w:r>
        <w:rPr>
          <w:rFonts w:ascii="Arial" w:cs="Arial" w:eastAsia="Arial" w:hAnsi="Arial"/>
          <w:color w:val="1A1A1A"/>
          <w:sz w:val="22"/>
          <w:szCs w:val="22"/>
        </w:rPr>
        <w:t xml:space="preserve">SBA 7(a) loan agreements include explicit financial covenants that the borrower must meet throughout the life of the loan. Failure to meet covenants triggers default even if payments are current. These are the key ratios -- calculated from the statements above -- and the SBA thresholds they must exceed.</w:t>
      </w:r>
    </w:p>
    <w:p>
      <w:pPr>
        <w:spacing w:after="80" w:before="8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460"/>
        <w:gridCol w:w="1000"/>
      </w:tblGrid>
      <w:tr>
        <w:tc>
          <w:tcPr>
            <w:tcW w:type="dxa" w:w="32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Ratio / Covenant</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1</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2</w:t>
            </w:r>
          </w:p>
        </w:tc>
        <w:tc>
          <w:tcPr>
            <w:tcW w:type="dxa" w:w="13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Year 3</w:t>
            </w:r>
          </w:p>
        </w:tc>
        <w:tc>
          <w:tcPr>
            <w:tcW w:type="dxa" w:w="14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SBA Threshold</w:t>
            </w:r>
          </w:p>
        </w:tc>
        <w:tc>
          <w:tcPr>
            <w:tcW w:type="dxa" w:w="10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Status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Debt Service Coverage Ratio (EBITDA / Debt Service)</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(2.38)</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0.44</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2.48</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1.25x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Yr3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Current Ratio (Current Assets / Current Liab.)</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1.09</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1.18</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1.87</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1.00x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Quick Ratio (Cash + AR / Current Liab.)</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0.79</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0.89</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1.58</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0.80x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Yr2-3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Debt-to-Equity Ratio (Total Liab / Equity)</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3.93</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3.94</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2.35</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&lt; 4.00x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Operating Cash Flow / Interest Expense</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(4.70)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4.04</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1.00x</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Yr3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Working Capital ($)</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11,600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29,000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169,900</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Positive req</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Gross Margin %</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93.0%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93.0%</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92.8%</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60%</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r>
        <w:tc>
          <w:tcPr>
            <w:tcW w:type="dxa" w:w="32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Revenue Growth Year-over-Year</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N/A</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67.8%</w:t>
            </w:r>
          </w:p>
        </w:tc>
        <w:tc>
          <w:tcPr>
            <w:tcW w:type="dxa" w:w="13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31.5%</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&gt; 15%</w:t>
            </w:r>
          </w:p>
        </w:tc>
        <w:tc>
          <w:tcPr>
            <w:tcW w:type="dxa" w:w="10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All Pass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E8F4F2" w:val="clear"/>
            <w:tcMar>
              <w:top w:type="dxa" w:w="100"/>
              <w:left w:type="dxa" w:w="200"/>
              <w:bottom w:type="dxa" w:w="100"/>
              <w:right w:type="dxa" w:w="120"/>
            </w:tcMar>
          </w:tcPr>
          <w:p>
            <w:r>
              <w:rPr>
                <w:rFonts w:ascii="Arial" w:cs="Arial" w:eastAsia="Arial" w:hAnsi="Arial"/>
                <w:b/>
                <w:bCs/>
                <w:color w:val="92600A"/>
                <w:sz w:val="22"/>
                <w:szCs w:val="22"/>
              </w:rPr>
              <w:t xml:space="preserve">Covenant Risk in Years 1 and 2</w:t>
            </w:r>
          </w:p>
          <w:p>
            <w:pPr>
              <w:spacing w:before="40"/>
            </w:pPr>
            <w:r>
              <w:rPr>
                <w:rFonts w:ascii="Arial" w:cs="Arial" w:eastAsia="Arial" w:hAnsi="Arial"/>
                <w:color w:val="1A1A1A"/>
                <w:sz w:val="21"/>
                <w:szCs w:val="21"/>
              </w:rPr>
              <w:t xml:space="preserve">Debt Service Coverage Ratio (DSCR) is the single most important SBA covenant. Year 1 and Year 2 are below 1.25x because the Hub is ramping. This is a known and expected pattern for SBA 7(a) startup loans in hospitality and retail. The standard mitigation is to negotiate a covenant holiday or stepped covenant structure in the loan agreement: no DSCR test in Year 1, 1.0x minimum in Year 2, 1.25x starting Year 3. This is requested at origination, not retroactively. Supplement C on SBA strategy already flags this as a negotiation point; this appendix quantifies exactly what is needed.</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F.7 Sensitivity Walk Across the Cash Flow Statement</w:t>
      </w:r>
    </w:p>
    <w:p>
      <w:pPr>
        <w:spacing w:after="80" w:before="60"/>
      </w:pPr>
      <w:r>
        <w:rPr>
          <w:rFonts w:ascii="Arial" w:cs="Arial" w:eastAsia="Arial" w:hAnsi="Arial"/>
          <w:color w:val="1A1A1A"/>
          <w:sz w:val="22"/>
          <w:szCs w:val="22"/>
        </w:rPr>
        <w:t xml:space="preserve">Supplement I presented a break-even sensitivity heat map across occupancy and utility cost scenarios. This section shows how the Year 1 Statement of Cash Flows shifts under those scenarios, which is the question lenders actually care about: how much additional working capital would be needed in each scenario?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500"/>
        <w:gridCol w:w="1500"/>
        <w:gridCol w:w="1460"/>
      </w:tblGrid>
      <w:tr>
        <w:tc>
          <w:tcPr>
            <w:tcW w:type="dxa" w:w="34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Scenario</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Yr1 Revenue</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Yr1 Op Cash</w:t>
            </w:r>
          </w:p>
        </w:tc>
        <w:tc>
          <w:tcPr>
            <w:tcW w:type="dxa" w:w="150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Working Cap Need</w:t>
            </w:r>
          </w:p>
        </w:tc>
        <w:tc>
          <w:tcPr>
            <w:tcW w:type="dxa" w:w="1460"/>
            <w:tcBorders>
              <w:top w:val="single" w:color="B0C8E8" w:sz="1"/>
              <w:left w:val="single" w:color="B0C8E8" w:sz="1"/>
              <w:bottom w:val="single" w:color="B0C8E8" w:sz="1"/>
              <w:right w:val="single" w:color="B0C8E8" w:sz="1"/>
            </w:tcBorders>
            <w:shd w:fill="1B3A5C"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18"/>
                <w:szCs w:val="18"/>
              </w:rPr>
              <w:t xml:space="preserve">Funded?</w:t>
            </w:r>
          </w:p>
        </w:tc>
      </w:tr>
      <w:tr>
        <w:tc>
          <w:tcPr>
            <w:tcW w:type="dxa" w:w="34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Best Case (90% occ, $100K util)</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840,000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(215,000)</w:t>
            </w:r>
          </w:p>
        </w:tc>
        <w:tc>
          <w:tcPr>
            <w:tcW w:type="dxa" w:w="150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215,000</w:t>
            </w:r>
          </w:p>
        </w:tc>
        <w:tc>
          <w:tcPr>
            <w:tcW w:type="dxa" w:w="1460"/>
            <w:tcBorders>
              <w:top w:val="single" w:color="B0C8E8" w:sz="1"/>
              <w:left w:val="single" w:color="B0C8E8" w:sz="1"/>
              <w:bottom w:val="single" w:color="B0C8E8" w:sz="1"/>
              <w:right w:val="single" w:color="B0C8E8" w:sz="1"/>
            </w:tcBorders>
            <w:shd w:fill="E8F5E9"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Yes</w:t>
            </w:r>
          </w:p>
        </w:tc>
      </w:tr>
      <w:tr>
        <w:tc>
          <w:tcPr>
            <w:tcW w:type="dxa" w:w="34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Base Case (80% occ, $150K util) -- plan</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757,000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(368,900)</w:t>
            </w:r>
          </w:p>
        </w:tc>
        <w:tc>
          <w:tcPr>
            <w:tcW w:type="dxa" w:w="150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369,000</w:t>
            </w:r>
          </w:p>
        </w:tc>
        <w:tc>
          <w:tcPr>
            <w:tcW w:type="dxa" w:w="1460"/>
            <w:tcBorders>
              <w:top w:val="single" w:color="B0C8E8" w:sz="1"/>
              <w:left w:val="single" w:color="B0C8E8" w:sz="1"/>
              <w:bottom w:val="single" w:color="B0C8E8" w:sz="1"/>
              <w:right w:val="single" w:color="B0C8E8" w:sz="1"/>
            </w:tcBorders>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Yes ($272K) + deferred line</w:t>
            </w:r>
          </w:p>
        </w:tc>
      </w:tr>
      <w:tr>
        <w:tc>
          <w:tcPr>
            <w:tcW w:type="dxa" w:w="34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Conservative (70% occ, $150K util)</w:t>
            </w:r>
          </w:p>
        </w:tc>
        <w:tc>
          <w:tcPr>
            <w:tcW w:type="dxa" w:w="15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685,000</w:t>
            </w:r>
          </w:p>
        </w:tc>
        <w:tc>
          <w:tcPr>
            <w:tcW w:type="dxa" w:w="15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(420,000)</w:t>
            </w:r>
          </w:p>
        </w:tc>
        <w:tc>
          <w:tcPr>
            <w:tcW w:type="dxa" w:w="150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420,000</w:t>
            </w:r>
          </w:p>
        </w:tc>
        <w:tc>
          <w:tcPr>
            <w:tcW w:type="dxa" w:w="1460"/>
            <w:tcBorders>
              <w:top w:val="single" w:color="B0C8E8" w:sz="1"/>
              <w:left w:val="single" w:color="B0C8E8" w:sz="1"/>
              <w:bottom w:val="single" w:color="B0C8E8" w:sz="1"/>
              <w:right w:val="single" w:color="B0C8E8" w:sz="1"/>
            </w:tcBorders>
            <w:shd w:fill="FFF4E0"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Gap $148K -- tap SBA line</w:t>
            </w:r>
          </w:p>
        </w:tc>
      </w:tr>
      <w:tr>
        <w:tc>
          <w:tcPr>
            <w:tcW w:type="dxa" w:w="34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1A1A"/>
                <w:sz w:val="18"/>
                <w:szCs w:val="18"/>
              </w:rPr>
              <w:t xml:space="preserve">Stress (60% occ, $175K util)</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580,000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8B1A1A"/>
                <w:sz w:val="18"/>
                <w:szCs w:val="18"/>
              </w:rPr>
              <w:t xml:space="preserve">(510,000)</w:t>
            </w:r>
          </w:p>
        </w:tc>
        <w:tc>
          <w:tcPr>
            <w:tcW w:type="dxa" w:w="150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510,000</w:t>
            </w:r>
          </w:p>
        </w:tc>
        <w:tc>
          <w:tcPr>
            <w:tcW w:type="dxa" w:w="1460"/>
            <w:tcBorders>
              <w:top w:val="single" w:color="B0C8E8" w:sz="1"/>
              <w:left w:val="single" w:color="B0C8E8" w:sz="1"/>
              <w:bottom w:val="single" w:color="B0C8E8" w:sz="1"/>
              <w:right w:val="single" w:color="B0C8E8" w:sz="1"/>
            </w:tcBorders>
            <w:shd w:fill="FDECEA" w:val="clear"/>
            <w:tcMar>
              <w:top w:type="dxa" w:w="80"/>
              <w:left w:type="dxa" w:w="120"/>
              <w:bottom w:type="dxa" w:w="80"/>
              <w:right w:type="dxa" w:w="120"/>
            </w:tcMar>
            <w:vAlign w:val="center"/>
          </w:tcPr>
          <w:p>
            <w:pPr>
              <w:jc w:val="right"/>
            </w:pPr>
            <w:r>
              <w:rPr>
                <w:rFonts w:ascii="Arial" w:cs="Arial" w:eastAsia="Arial" w:hAnsi="Arial"/>
                <w:b w:val="false"/>
                <w:bCs w:val="false"/>
                <w:i w:val="false"/>
                <w:iCs w:val="false"/>
                <w:color w:val="1A1A1A"/>
                <w:sz w:val="18"/>
                <w:szCs w:val="18"/>
              </w:rPr>
              <w:t xml:space="preserve">Gap $238K -- activate fallback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4F2" w:val="clear"/>
            <w:tcMar>
              <w:top w:type="dxa" w:w="100"/>
              <w:left w:type="dxa" w:w="200"/>
              <w:bottom w:type="dxa" w:w="100"/>
              <w:right w:type="dxa" w:w="120"/>
            </w:tcMar>
          </w:tcPr>
          <w:p>
            <w:r>
              <w:rPr>
                <w:rFonts w:ascii="Arial" w:cs="Arial" w:eastAsia="Arial" w:hAnsi="Arial"/>
                <w:b/>
                <w:bCs/>
                <w:color w:val="1A5C2A"/>
                <w:sz w:val="22"/>
                <w:szCs w:val="22"/>
              </w:rPr>
              <w:t xml:space="preserve">Working Capital Sizing vs. Reserve</w:t>
            </w:r>
          </w:p>
          <w:p>
            <w:pPr>
              <w:spacing w:before="40"/>
            </w:pPr>
            <w:r>
              <w:rPr>
                <w:rFonts w:ascii="Arial" w:cs="Arial" w:eastAsia="Arial" w:hAnsi="Arial"/>
                <w:color w:val="1A1A1A"/>
                <w:sz w:val="21"/>
                <w:szCs w:val="21"/>
              </w:rPr>
              <w:t xml:space="preserve">The base case Year 1 needs approximately $369K in operating cash support. The working capital reserve in Uses of Funds is $272K. The $97K gap is planned to be covered by deferred vendor buildout contributions (vendor-paid equipment for a discount on rent in Months 4-6) and/or by establishing a $100K SBA-backed working capital line of credit at origination, drawn only if needed. Supplement C's SBA fallback plan activates if the conservative or stress scenario materializes. This appendix makes the capital gap explicit and quantified -- lenders respect this far more than a plan that claims no gap exists.</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F.8 Notes to the Financial Statements</w:t>
      </w:r>
    </w:p>
    <w:p>
      <w:pPr>
        <w:spacing w:after="80" w:before="220"/>
      </w:pPr>
      <w:r>
        <w:rPr>
          <w:rFonts w:ascii="Arial" w:cs="Arial" w:eastAsia="Arial" w:hAnsi="Arial"/>
          <w:b/>
          <w:bCs/>
          <w:color w:val="14746F"/>
          <w:sz w:val="24"/>
          <w:szCs w:val="24"/>
        </w:rPr>
        <w:t xml:space="preserve">Note 1: Organization and Basis of Presentation</w:t>
      </w:r>
    </w:p>
    <w:p>
      <w:pPr>
        <w:spacing w:after="80" w:before="60"/>
      </w:pPr>
      <w:r>
        <w:rPr>
          <w:rFonts w:ascii="Arial" w:cs="Arial" w:eastAsia="Arial" w:hAnsi="Arial"/>
          <w:color w:val="1A1A1A"/>
          <w:sz w:val="22"/>
          <w:szCs w:val="22"/>
        </w:rPr>
        <w:t xml:space="preserve">The Las Cruces Culinary Innovation Hub ("the Hub") will operate as a New Mexico Limited Liability Company. These pro forma statements reflect the twelve-month fiscal year beginning on the Grand Opening date (targeted October 2026, subject to Phase 1 milestone gates). The Hub is a pass-through entity for tax purposes; income tax obligations flow to members and are not recognized as a corporate-level expense. All member distributions shown in the Statement of Cash Flows represent cash distributions to members, separate from any tax distributions that may be required by the Operating Agreement.</w:t>
      </w:r>
    </w:p>
    <w:p>
      <w:pPr>
        <w:spacing w:after="80" w:before="80"/>
      </w:pPr>
      <w:r>
        <w:t xml:space="preserve"/>
      </w:r>
    </w:p>
    <w:p>
      <w:pPr>
        <w:spacing w:after="80" w:before="220"/>
      </w:pPr>
      <w:r>
        <w:rPr>
          <w:rFonts w:ascii="Arial" w:cs="Arial" w:eastAsia="Arial" w:hAnsi="Arial"/>
          <w:b/>
          <w:bCs/>
          <w:color w:val="14746F"/>
          <w:sz w:val="24"/>
          <w:szCs w:val="24"/>
        </w:rPr>
        <w:t xml:space="preserve">Note 2: Revenue Recognition (ASC 606)</w:t>
      </w:r>
    </w:p>
    <w:p>
      <w:pPr>
        <w:pStyle w:val="ListParagraph"/>
        <w:numPr>
          <w:ilvl w:val="0"/>
          <w:numId w:val="2"/>
        </w:numPr>
        <w:spacing w:after="40" w:before="40"/>
      </w:pPr>
      <w:r>
        <w:rPr>
          <w:rFonts w:ascii="Arial" w:cs="Arial" w:eastAsia="Arial" w:hAnsi="Arial"/>
          <w:b/>
          <w:bCs/>
          <w:color w:val="1B3A5C"/>
          <w:sz w:val="22"/>
          <w:szCs w:val="22"/>
        </w:rPr>
        <w:t xml:space="preserve">Vendor Stall Rent: </w:t>
      </w:r>
      <w:r>
        <w:rPr>
          <w:rFonts w:ascii="Arial" w:cs="Arial" w:eastAsia="Arial" w:hAnsi="Arial"/>
          <w:color w:val="1A1A1A"/>
          <w:sz w:val="22"/>
          <w:szCs w:val="22"/>
        </w:rPr>
        <w:t xml:space="preserve">Base license fees are recognized straight-line over the license term. Percentage rent is recognized monthly based on vendor-reported gross sales, with reconciliation at quarter-end.</w:t>
      </w:r>
    </w:p>
    <w:p>
      <w:pPr>
        <w:pStyle w:val="ListParagraph"/>
        <w:numPr>
          <w:ilvl w:val="0"/>
          <w:numId w:val="2"/>
        </w:numPr>
        <w:spacing w:after="40" w:before="40"/>
      </w:pPr>
      <w:r>
        <w:rPr>
          <w:rFonts w:ascii="Arial" w:cs="Arial" w:eastAsia="Arial" w:hAnsi="Arial"/>
          <w:b/>
          <w:bCs/>
          <w:color w:val="1B3A5C"/>
          <w:sz w:val="22"/>
          <w:szCs w:val="22"/>
        </w:rPr>
        <w:t xml:space="preserve">Cider Bar Revenue: </w:t>
      </w:r>
      <w:r>
        <w:rPr>
          <w:rFonts w:ascii="Arial" w:cs="Arial" w:eastAsia="Arial" w:hAnsi="Arial"/>
          <w:color w:val="1A1A1A"/>
          <w:sz w:val="22"/>
          <w:szCs w:val="22"/>
        </w:rPr>
        <w:t xml:space="preserve">Point-of-sale recognition at transaction completion. COGS matched at time of sale based on weighted-average cost.</w:t>
      </w:r>
    </w:p>
    <w:p>
      <w:pPr>
        <w:pStyle w:val="ListParagraph"/>
        <w:numPr>
          <w:ilvl w:val="0"/>
          <w:numId w:val="2"/>
        </w:numPr>
        <w:spacing w:after="40" w:before="40"/>
      </w:pPr>
      <w:r>
        <w:rPr>
          <w:rFonts w:ascii="Arial" w:cs="Arial" w:eastAsia="Arial" w:hAnsi="Arial"/>
          <w:b/>
          <w:bCs/>
          <w:color w:val="1B3A5C"/>
          <w:sz w:val="22"/>
          <w:szCs w:val="22"/>
        </w:rPr>
        <w:t xml:space="preserve">Cider Club Memberships: </w:t>
      </w:r>
      <w:r>
        <w:rPr>
          <w:rFonts w:ascii="Arial" w:cs="Arial" w:eastAsia="Arial" w:hAnsi="Arial"/>
          <w:color w:val="1A1A1A"/>
          <w:sz w:val="22"/>
          <w:szCs w:val="22"/>
        </w:rPr>
        <w:t xml:space="preserve">Prepaid annual memberships create deferred revenue at purchase and recognize ratably over the 12-month subscription term.</w:t>
      </w:r>
    </w:p>
    <w:p>
      <w:pPr>
        <w:pStyle w:val="ListParagraph"/>
        <w:numPr>
          <w:ilvl w:val="0"/>
          <w:numId w:val="2"/>
        </w:numPr>
        <w:spacing w:after="40" w:before="40"/>
      </w:pPr>
      <w:r>
        <w:rPr>
          <w:rFonts w:ascii="Arial" w:cs="Arial" w:eastAsia="Arial" w:hAnsi="Arial"/>
          <w:b/>
          <w:bCs/>
          <w:color w:val="1B3A5C"/>
          <w:sz w:val="22"/>
          <w:szCs w:val="22"/>
        </w:rPr>
        <w:t xml:space="preserve">Commissary and Ghost Kitchen: </w:t>
      </w:r>
      <w:r>
        <w:rPr>
          <w:rFonts w:ascii="Arial" w:cs="Arial" w:eastAsia="Arial" w:hAnsi="Arial"/>
          <w:color w:val="1A1A1A"/>
          <w:sz w:val="22"/>
          <w:szCs w:val="22"/>
        </w:rPr>
        <w:t xml:space="preserve">Hourly and monthly rentals recognized in the period used; prepaid blocks create deferred revenue.</w:t>
      </w:r>
    </w:p>
    <w:p>
      <w:pPr>
        <w:pStyle w:val="ListParagraph"/>
        <w:numPr>
          <w:ilvl w:val="0"/>
          <w:numId w:val="2"/>
        </w:numPr>
        <w:spacing w:after="40" w:before="40"/>
      </w:pPr>
      <w:r>
        <w:rPr>
          <w:rFonts w:ascii="Arial" w:cs="Arial" w:eastAsia="Arial" w:hAnsi="Arial"/>
          <w:b/>
          <w:bCs/>
          <w:color w:val="1B3A5C"/>
          <w:sz w:val="22"/>
          <w:szCs w:val="22"/>
        </w:rPr>
        <w:t xml:space="preserve">Events: </w:t>
      </w:r>
      <w:r>
        <w:rPr>
          <w:rFonts w:ascii="Arial" w:cs="Arial" w:eastAsia="Arial" w:hAnsi="Arial"/>
          <w:color w:val="1A1A1A"/>
          <w:sz w:val="22"/>
          <w:szCs w:val="22"/>
        </w:rPr>
        <w:t xml:space="preserve">Recognized on the date the event occurs. Deposits received in advance are deferred.</w:t>
      </w:r>
    </w:p>
    <w:p>
      <w:pPr>
        <w:pStyle w:val="ListParagraph"/>
        <w:numPr>
          <w:ilvl w:val="0"/>
          <w:numId w:val="2"/>
        </w:numPr>
        <w:spacing w:after="40" w:before="40"/>
      </w:pPr>
      <w:r>
        <w:rPr>
          <w:rFonts w:ascii="Arial" w:cs="Arial" w:eastAsia="Arial" w:hAnsi="Arial"/>
          <w:b/>
          <w:bCs/>
          <w:color w:val="1B3A5C"/>
          <w:sz w:val="22"/>
          <w:szCs w:val="22"/>
        </w:rPr>
        <w:t xml:space="preserve">Grants: </w:t>
      </w:r>
      <w:r>
        <w:rPr>
          <w:rFonts w:ascii="Arial" w:cs="Arial" w:eastAsia="Arial" w:hAnsi="Arial"/>
          <w:color w:val="1A1A1A"/>
          <w:sz w:val="22"/>
          <w:szCs w:val="22"/>
        </w:rPr>
        <w:t xml:space="preserve">Recognized as contra-equity credits upon receipt per nonprofit-adjacent accounting guidance for restricted grants with performance obligations; unrestricted grants flow to revenue. The Hub's grants are primarily restricted for specific buildout or program use, so contra-equity is the dominant treatment.</w:t>
      </w:r>
    </w:p>
    <w:p>
      <w:pPr>
        <w:spacing w:after="80" w:before="80"/>
      </w:pPr>
      <w:r>
        <w:t xml:space="preserve"/>
      </w:r>
    </w:p>
    <w:p>
      <w:pPr>
        <w:spacing w:after="80" w:before="220"/>
      </w:pPr>
      <w:r>
        <w:rPr>
          <w:rFonts w:ascii="Arial" w:cs="Arial" w:eastAsia="Arial" w:hAnsi="Arial"/>
          <w:b/>
          <w:bCs/>
          <w:color w:val="14746F"/>
          <w:sz w:val="24"/>
          <w:szCs w:val="24"/>
        </w:rPr>
        <w:t xml:space="preserve">Note 3: Depreciation Policy</w:t>
      </w:r>
    </w:p>
    <w:p>
      <w:pPr>
        <w:spacing w:after="80" w:before="60"/>
      </w:pPr>
      <w:r>
        <w:rPr>
          <w:rFonts w:ascii="Arial" w:cs="Arial" w:eastAsia="Arial" w:hAnsi="Arial"/>
          <w:color w:val="1A1A1A"/>
          <w:sz w:val="22"/>
          <w:szCs w:val="22"/>
        </w:rPr>
        <w:t xml:space="preserve">Leasehold improvements are depreciated straight-line over 15 years, matching the initial lease term plus one renewal option. Equipment and FF&amp;E are depreciated over 7 years using straight-line method. POS hardware and software integration work are depreciated over 3 years. Annual depreciation expense is $68,000 based on the $1.14M gross buildout and equipment base.</w:t>
      </w:r>
    </w:p>
    <w:p>
      <w:pPr>
        <w:spacing w:after="80" w:before="80"/>
      </w:pPr>
      <w:r>
        <w:t xml:space="preserve"/>
      </w:r>
    </w:p>
    <w:p>
      <w:pPr>
        <w:spacing w:after="80" w:before="220"/>
      </w:pPr>
      <w:r>
        <w:rPr>
          <w:rFonts w:ascii="Arial" w:cs="Arial" w:eastAsia="Arial" w:hAnsi="Arial"/>
          <w:b/>
          <w:bCs/>
          <w:color w:val="14746F"/>
          <w:sz w:val="24"/>
          <w:szCs w:val="24"/>
        </w:rPr>
        <w:t xml:space="preserve">Note 4: Debt Structure (SBA 7(a))</w:t>
      </w:r>
    </w:p>
    <w:p>
      <w:pPr>
        <w:spacing w:after="80" w:before="60"/>
      </w:pPr>
      <w:r>
        <w:rPr>
          <w:rFonts w:ascii="Arial" w:cs="Arial" w:eastAsia="Arial" w:hAnsi="Arial"/>
          <w:color w:val="1A1A1A"/>
          <w:sz w:val="22"/>
          <w:szCs w:val="22"/>
        </w:rPr>
        <w:t xml:space="preserve">The SBA 7(a) loan of $850,000 is modeled at a 10-year term, 25-year real-estate-component amortization where applicable, at an initial rate of 9.625% (Prime + 3.0%). Interest expense declines annually as the principal balance amortizes. SBA principal and interest payments are modeled as cash outflows (principal in Financing, interest in Operating, per GAAP). The loan is secured by all business assets and a personal guarantee from the member. See Supplement C for the full SBA strategy and fallback plan.</w:t>
      </w:r>
    </w:p>
    <w:p>
      <w:pPr>
        <w:spacing w:after="80" w:before="80"/>
      </w:pPr>
      <w:r>
        <w:t xml:space="preserve"/>
      </w:r>
    </w:p>
    <w:p>
      <w:pPr>
        <w:spacing w:after="80" w:before="220"/>
      </w:pPr>
      <w:r>
        <w:rPr>
          <w:rFonts w:ascii="Arial" w:cs="Arial" w:eastAsia="Arial" w:hAnsi="Arial"/>
          <w:b/>
          <w:bCs/>
          <w:color w:val="14746F"/>
          <w:sz w:val="24"/>
          <w:szCs w:val="24"/>
        </w:rPr>
        <w:t xml:space="preserve">Note 5: Material Estimates and Assumptions</w:t>
      </w:r>
    </w:p>
    <w:p>
      <w:pPr>
        <w:spacing w:after="80" w:before="60"/>
      </w:pPr>
      <w:r>
        <w:rPr>
          <w:rFonts w:ascii="Arial" w:cs="Arial" w:eastAsia="Arial" w:hAnsi="Arial"/>
          <w:color w:val="1A1A1A"/>
          <w:sz w:val="22"/>
          <w:szCs w:val="22"/>
        </w:rPr>
        <w:t xml:space="preserve">The key estimates driving these projections, ranked by impact:</w:t>
      </w:r>
    </w:p>
    <w:p>
      <w:pPr>
        <w:pStyle w:val="ListParagraph"/>
        <w:numPr>
          <w:ilvl w:val="0"/>
          <w:numId w:val="2"/>
        </w:numPr>
        <w:spacing w:after="40" w:before="40"/>
      </w:pPr>
      <w:r>
        <w:rPr>
          <w:rFonts w:ascii="Arial" w:cs="Arial" w:eastAsia="Arial" w:hAnsi="Arial"/>
          <w:b/>
          <w:bCs/>
          <w:color w:val="1B3A5C"/>
          <w:sz w:val="22"/>
          <w:szCs w:val="22"/>
        </w:rPr>
        <w:t xml:space="preserve">Vendor Occupancy Ramp: </w:t>
      </w:r>
      <w:r>
        <w:rPr>
          <w:rFonts w:ascii="Arial" w:cs="Arial" w:eastAsia="Arial" w:hAnsi="Arial"/>
          <w:color w:val="1A1A1A"/>
          <w:sz w:val="22"/>
          <w:szCs w:val="22"/>
        </w:rPr>
        <w:t xml:space="preserve">7 of 13 stalls at Month 1, reaching 13 of 13 by Month 11. Validated by five comparable food hall openings documented in Section 9. ±10 percentage points of ramp speed drives approximately ±$90,000 of Year 1 revenue.</w:t>
      </w:r>
    </w:p>
    <w:p>
      <w:pPr>
        <w:pStyle w:val="ListParagraph"/>
        <w:numPr>
          <w:ilvl w:val="0"/>
          <w:numId w:val="2"/>
        </w:numPr>
        <w:spacing w:after="40" w:before="40"/>
      </w:pPr>
      <w:r>
        <w:rPr>
          <w:rFonts w:ascii="Arial" w:cs="Arial" w:eastAsia="Arial" w:hAnsi="Arial"/>
          <w:b/>
          <w:bCs/>
          <w:color w:val="1B3A5C"/>
          <w:sz w:val="22"/>
          <w:szCs w:val="22"/>
        </w:rPr>
        <w:t xml:space="preserve">Cider Bar Volume: </w:t>
      </w:r>
      <w:r>
        <w:rPr>
          <w:rFonts w:ascii="Arial" w:cs="Arial" w:eastAsia="Arial" w:hAnsi="Arial"/>
          <w:color w:val="1A1A1A"/>
          <w:sz w:val="22"/>
          <w:szCs w:val="22"/>
        </w:rPr>
        <w:t xml:space="preserve">$13,500 average monthly revenue at steady state, 22% COGS. Based on Las Cruces-specific beverage consumption data and comparable cider bar revenue from New Mexico cideries. ±20% volume drives ±$32,000 of Year 1 revenue.</w:t>
      </w:r>
    </w:p>
    <w:p>
      <w:pPr>
        <w:pStyle w:val="ListParagraph"/>
        <w:numPr>
          <w:ilvl w:val="0"/>
          <w:numId w:val="2"/>
        </w:numPr>
        <w:spacing w:after="40" w:before="40"/>
      </w:pPr>
      <w:r>
        <w:rPr>
          <w:rFonts w:ascii="Arial" w:cs="Arial" w:eastAsia="Arial" w:hAnsi="Arial"/>
          <w:b/>
          <w:bCs/>
          <w:color w:val="1B3A5C"/>
          <w:sz w:val="22"/>
          <w:szCs w:val="22"/>
        </w:rPr>
        <w:t xml:space="preserve">Utility Cost: </w:t>
      </w:r>
      <w:r>
        <w:rPr>
          <w:rFonts w:ascii="Arial" w:cs="Arial" w:eastAsia="Arial" w:hAnsi="Arial"/>
          <w:color w:val="1A1A1A"/>
          <w:sz w:val="22"/>
          <w:szCs w:val="22"/>
        </w:rPr>
        <w:t xml:space="preserve">$147,000 Year 1 average. Based on deep research into El Paso Electric commercial rates and demand charges, Las Cruces Utilities water tier structure, and NM Gas therm pricing. See Supplement B. ±$25,000 of utility cost is within the conservative/base/stress range modeled.</w:t>
      </w:r>
    </w:p>
    <w:p>
      <w:pPr>
        <w:pStyle w:val="ListParagraph"/>
        <w:numPr>
          <w:ilvl w:val="0"/>
          <w:numId w:val="2"/>
        </w:numPr>
        <w:spacing w:after="40" w:before="40"/>
      </w:pPr>
      <w:r>
        <w:rPr>
          <w:rFonts w:ascii="Arial" w:cs="Arial" w:eastAsia="Arial" w:hAnsi="Arial"/>
          <w:b/>
          <w:bCs/>
          <w:color w:val="1B3A5C"/>
          <w:sz w:val="22"/>
          <w:szCs w:val="22"/>
        </w:rPr>
        <w:t xml:space="preserve">Personnel Cost: </w:t>
      </w:r>
      <w:r>
        <w:rPr>
          <w:rFonts w:ascii="Arial" w:cs="Arial" w:eastAsia="Arial" w:hAnsi="Arial"/>
          <w:color w:val="1A1A1A"/>
          <w:sz w:val="22"/>
          <w:szCs w:val="22"/>
        </w:rPr>
        <w:t xml:space="preserve">$489,000 wages plus $107,500 loaded benefits and taxes. Based on $17-$22/hour market rate for Las Cruces food service, specific Hub headcount (GM, Marketing, Cider Bar Manager, 2 floor leads, rotating staff).</w:t>
      </w:r>
    </w:p>
    <w:p>
      <w:pPr>
        <w:pStyle w:val="ListParagraph"/>
        <w:numPr>
          <w:ilvl w:val="0"/>
          <w:numId w:val="2"/>
        </w:numPr>
        <w:spacing w:after="40" w:before="40"/>
      </w:pPr>
      <w:r>
        <w:rPr>
          <w:rFonts w:ascii="Arial" w:cs="Arial" w:eastAsia="Arial" w:hAnsi="Arial"/>
          <w:b/>
          <w:bCs/>
          <w:color w:val="1B3A5C"/>
          <w:sz w:val="22"/>
          <w:szCs w:val="22"/>
        </w:rPr>
        <w:t xml:space="preserve">Lease Cost: </w:t>
      </w:r>
      <w:r>
        <w:rPr>
          <w:rFonts w:ascii="Arial" w:cs="Arial" w:eastAsia="Arial" w:hAnsi="Arial"/>
          <w:color w:val="1A1A1A"/>
          <w:sz w:val="22"/>
          <w:szCs w:val="22"/>
        </w:rPr>
        <w:t xml:space="preserve">$8,000/month base with 3% annual escalation. Based on Las Cruces commercial real estate market average of $35/sq ft for a ~2,700 sq ft footprint. A signed LOI will replace this assumption with a specific negotiated rate.</w:t>
      </w:r>
    </w:p>
    <w:p>
      <w:pPr>
        <w:spacing w:after="80" w:before="80"/>
      </w:pPr>
      <w:r>
        <w:t xml:space="preserve"/>
      </w:r>
    </w:p>
    <w:p>
      <w:pPr>
        <w:spacing w:after="80" w:before="220"/>
      </w:pPr>
      <w:r>
        <w:rPr>
          <w:rFonts w:ascii="Arial" w:cs="Arial" w:eastAsia="Arial" w:hAnsi="Arial"/>
          <w:b/>
          <w:bCs/>
          <w:color w:val="14746F"/>
          <w:sz w:val="24"/>
          <w:szCs w:val="24"/>
        </w:rPr>
        <w:t xml:space="preserve">Note 6: Subsequent Event Disclosure</w:t>
      </w:r>
    </w:p>
    <w:p>
      <w:pPr>
        <w:spacing w:after="80" w:before="60"/>
      </w:pPr>
      <w:r>
        <w:rPr>
          <w:rFonts w:ascii="Arial" w:cs="Arial" w:eastAsia="Arial" w:hAnsi="Arial"/>
          <w:color w:val="1A1A1A"/>
          <w:sz w:val="22"/>
          <w:szCs w:val="22"/>
        </w:rPr>
        <w:t xml:space="preserve">These statements are prepared as of the business plan date. Material events after preparation that should be disclosed to lenders and investors include: signing of the site LOI and lease; award or denial of any grant application; SBA 7(a) underwriting decision; vendor LOI count reaching four or more; and any material change in the capital stack. The plan will be restated and reissued upon any of these events.</w:t>
      </w:r>
    </w:p>
    <w:p>
      <w:pPr>
        <w:spacing w:after="80" w:before="80"/>
      </w:pPr>
      <w:r>
        <w:t xml:space="preserve"/>
      </w:r>
    </w:p>
    <w:p>
      <w:pPr>
        <w:spacing w:after="80" w:before="220"/>
      </w:pPr>
      <w:r>
        <w:rPr>
          <w:rFonts w:ascii="Arial" w:cs="Arial" w:eastAsia="Arial" w:hAnsi="Arial"/>
          <w:b/>
          <w:bCs/>
          <w:color w:val="14746F"/>
          <w:sz w:val="24"/>
          <w:szCs w:val="24"/>
        </w:rPr>
        <w:t xml:space="preserve">Note 7: Items Not Reflected in These Statements</w:t>
      </w:r>
    </w:p>
    <w:p>
      <w:pPr>
        <w:spacing w:after="80" w:before="60"/>
      </w:pPr>
      <w:r>
        <w:rPr>
          <w:rFonts w:ascii="Arial" w:cs="Arial" w:eastAsia="Arial" w:hAnsi="Arial"/>
          <w:color w:val="1A1A1A"/>
          <w:sz w:val="22"/>
          <w:szCs w:val="22"/>
        </w:rPr>
        <w:t xml:space="preserve">Several items identified in the gap analysis are not quantified here and will be added when available:</w:t>
      </w:r>
    </w:p>
    <w:p>
      <w:pPr>
        <w:pStyle w:val="ListParagraph"/>
        <w:numPr>
          <w:ilvl w:val="0"/>
          <w:numId w:val="2"/>
        </w:numPr>
        <w:spacing w:after="40" w:before="40"/>
      </w:pPr>
      <w:r>
        <w:rPr>
          <w:rFonts w:ascii="Arial" w:cs="Arial" w:eastAsia="Arial" w:hAnsi="Arial"/>
          <w:color w:val="1A1A1A"/>
          <w:sz w:val="22"/>
          <w:szCs w:val="22"/>
        </w:rPr>
        <w:t xml:space="preserve">Named GM candidate salary negotiation -- budgeted at market rate $65,000-$80,000</w:t>
      </w:r>
    </w:p>
    <w:p>
      <w:pPr>
        <w:pStyle w:val="ListParagraph"/>
        <w:numPr>
          <w:ilvl w:val="0"/>
          <w:numId w:val="2"/>
        </w:numPr>
        <w:spacing w:after="40" w:before="40"/>
      </w:pPr>
      <w:r>
        <w:rPr>
          <w:rFonts w:ascii="Arial" w:cs="Arial" w:eastAsia="Arial" w:hAnsi="Arial"/>
          <w:color w:val="1A1A1A"/>
          <w:sz w:val="22"/>
          <w:szCs w:val="22"/>
        </w:rPr>
        <w:t xml:space="preserve">Liquor license acquisition secondary market cost -- modeled at $25,000-$45,000 within Buildout line</w:t>
      </w:r>
    </w:p>
    <w:p>
      <w:pPr>
        <w:pStyle w:val="ListParagraph"/>
        <w:numPr>
          <w:ilvl w:val="0"/>
          <w:numId w:val="2"/>
        </w:numPr>
        <w:spacing w:after="40" w:before="40"/>
      </w:pPr>
      <w:r>
        <w:rPr>
          <w:rFonts w:ascii="Arial" w:cs="Arial" w:eastAsia="Arial" w:hAnsi="Arial"/>
          <w:color w:val="1A1A1A"/>
          <w:sz w:val="22"/>
          <w:szCs w:val="22"/>
        </w:rPr>
        <w:t xml:space="preserve">Contractor-specific cost estimate -- placeholder at $580,000 leasehold, subject to actual bids</w:t>
      </w:r>
    </w:p>
    <w:p>
      <w:pPr>
        <w:pStyle w:val="ListParagraph"/>
        <w:numPr>
          <w:ilvl w:val="0"/>
          <w:numId w:val="2"/>
        </w:numPr>
        <w:spacing w:after="40" w:before="40"/>
      </w:pPr>
      <w:r>
        <w:rPr>
          <w:rFonts w:ascii="Arial" w:cs="Arial" w:eastAsia="Arial" w:hAnsi="Arial"/>
          <w:color w:val="1A1A1A"/>
          <w:sz w:val="22"/>
          <w:szCs w:val="22"/>
        </w:rPr>
        <w:t xml:space="preserve">Insurance broker-quoted Las Cruces-specific premiums -- placeholder at $18,500 Year 1</w:t>
      </w:r>
    </w:p>
    <w:p>
      <w:pPr>
        <w:pStyle w:val="ListParagraph"/>
        <w:numPr>
          <w:ilvl w:val="0"/>
          <w:numId w:val="2"/>
        </w:numPr>
        <w:spacing w:after="40" w:before="40"/>
      </w:pPr>
      <w:r>
        <w:rPr>
          <w:rFonts w:ascii="Arial" w:cs="Arial" w:eastAsia="Arial" w:hAnsi="Arial"/>
          <w:color w:val="1A1A1A"/>
          <w:sz w:val="22"/>
          <w:szCs w:val="22"/>
        </w:rPr>
        <w:t xml:space="preserve">Any MRA/TIDD incentive rebates the Hub may qualify for -- potential upside of $8,000-$15,000/year</w:t>
      </w:r>
    </w:p>
    <w:p>
      <w:pPr>
        <w:spacing w:after="80" w:before="80"/>
      </w:pPr>
      <w:r>
        <w:t xml:space="preserve"/>
      </w:r>
    </w:p>
    <w:p>
      <w:pPr>
        <w:spacing w:after="80" w:before="60"/>
      </w:pPr>
      <w:r>
        <w:rPr>
          <w:rFonts w:ascii="Arial" w:cs="Arial" w:eastAsia="Arial" w:hAnsi="Arial"/>
          <w:i/>
          <w:iCs/>
          <w:color w:val="555555"/>
          <w:sz w:val="20"/>
          <w:szCs w:val="20"/>
        </w:rPr>
        <w:t xml:space="preserve">Sources: Main plan Section 7 Financial Snapshot; Supplement A Month-by-Month Year 1 Cash Flow; Supplement B Utility Cost Reforecast; Supplement C SBA 7(a) Strategy; Supplement D Legal Entity and Investor Exit; Supplement I Break-Even Sensitivity Analysis. FASB ASC 205 (Presentation of Financial Statements), ASC 230 (Statement of Cash Flows), ASC 606 (Revenue from Contracts with Customers). SBA SOP 50 10 8 (June 2025). New Mexico LLC Act for legal entity structure.</w:t>
      </w:r>
    </w:p>
    <w:p>
      <w:r>
        <w:br w:type="page"/>
      </w:r>
    </w:p>
    <w:p>
      <w:pPr>
        <w:pStyle w:val="Heading1"/>
        <w:pBdr>
          <w:bottom w:val="single" w:color="2563A8" w:sz="6" w:space="8"/>
        </w:pBdr>
        <w:spacing w:after="140" w:before="480"/>
      </w:pPr>
      <w:r>
        <w:rPr>
          <w:rFonts w:ascii="Arial" w:cs="Arial" w:eastAsia="Arial" w:hAnsi="Arial"/>
          <w:b/>
          <w:bCs/>
          <w:color w:val="1B3A5C"/>
          <w:sz w:val="36"/>
          <w:szCs w:val="36"/>
        </w:rPr>
        <w:t xml:space="preserve">Supplement N: City of Las Cruces Incentive Programs — Accurate Program Analysis and Application Strategy</w:t>
      </w:r>
    </w:p>
    <w:p>
      <w:pPr>
        <w:spacing w:after="80" w:before="60"/>
      </w:pPr>
      <w:r>
        <w:rPr>
          <w:rFonts w:ascii="Arial" w:cs="Arial" w:eastAsia="Arial" w:hAnsi="Arial"/>
          <w:color w:val="1A1A1A"/>
          <w:sz w:val="22"/>
          <w:szCs w:val="22"/>
        </w:rPr>
        <w:t xml:space="preserve">This supplement documents six City of Las Cruces and New Mexico state incentive programs using their official program language and requirements. It corrects earlier assumptions in the funding strategy (notably the Renovate Main Street cap), adds four programs not previously analyzed (GRIP, WIOA, Opportunity Zones, and the Safety Improvement Grant), and produces a precise, application-ready strategy for each.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thick" w:color="8B1A1A" w:sz="18"/>
              <w:bottom w:val="single" w:color="8B1A1A" w:sz="6"/>
              <w:right w:val="none" w:color="FFFFFF" w:sz="0"/>
            </w:tcBorders>
            <w:shd w:fill="FDECEA" w:val="clear"/>
            <w:tcMar>
              <w:top w:type="dxa" w:w="100"/>
              <w:left w:type="dxa" w:w="200"/>
              <w:bottom w:type="dxa" w:w="100"/>
              <w:right w:type="dxa" w:w="120"/>
            </w:tcMar>
          </w:tcPr>
          <w:p>
            <w:r>
              <w:rPr>
                <w:rFonts w:ascii="Arial" w:cs="Arial" w:eastAsia="Arial" w:hAnsi="Arial"/>
                <w:b/>
                <w:bCs/>
                <w:color w:val="8B1A1A"/>
                <w:sz w:val="22"/>
                <w:szCs w:val="22"/>
              </w:rPr>
              <w:t xml:space="preserve">Correction to Section 11 Funding Table — Renovate Main Street Cap</w:t>
            </w:r>
          </w:p>
          <w:p>
            <w:pPr>
              <w:spacing w:before="30"/>
            </w:pPr>
            <w:r>
              <w:rPr>
                <w:rFonts w:ascii="Arial" w:cs="Arial" w:eastAsia="Arial" w:hAnsi="Arial"/>
                <w:color w:val="1A1A1A"/>
                <w:sz w:val="21"/>
                <w:szCs w:val="21"/>
              </w:rPr>
              <w:t xml:space="preserve">Section 11 of the main plan states the DLCP Renovate Main Street matching grant provides '$25,000–$75,000.' The official program documentation states the cap is $25,000 — not $75,000. The funding table in Section 11 must be revised to show '$25,000 maximum (matching grant)' for this program. All financial models that assume $75,000 from Renovate Main Street should be restated. The total confirmed grant capacity from the programs analyzed here is recalculated at the end of this supplement.</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N.0 Program Overview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500"/>
        <w:gridCol w:w="2000"/>
        <w:gridCol w:w="12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Program</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Administering Body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Max Award to Hub</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Eligibility</w:t>
            </w:r>
          </w:p>
        </w:tc>
        <w:tc>
          <w:tcPr>
            <w:tcW w:type="dxa" w:w="1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Priority</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Local Economic Development Act (NMFA)</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NMEDD via City of Las Cruces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$100,000–$200,000</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Conditional — must qualify as Economic Base Employer or meet NMFA entity definition</w:t>
            </w:r>
          </w:p>
        </w:tc>
        <w:tc>
          <w:tcPr>
            <w:tcW w:type="dxa" w:w="1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High — if qualified</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Gross Receipts Tax Incentive Program (GRIP)</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75% of GRT generated</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Requires $5M+/yr sales after 3 yrs — Hub does NOT qualify at current scale</w:t>
            </w:r>
          </w:p>
        </w:tc>
        <w:tc>
          <w:tcPr>
            <w:tcW w:type="dxa" w:w="1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applicable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Job Training Incentive Program (WIOA)</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 Economic Development Dept.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50–75% of new employee wages for up to 6 months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Likely eligible — expanding business creating new jobs; training at NMSU/DACC qualifies</w:t>
            </w:r>
          </w:p>
        </w:tc>
        <w:tc>
          <w:tcPr>
            <w:tcW w:type="dxa" w:w="1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High — use for workforce development programming</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Opportunity Zones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U.S. Treasury / NMEDD</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Tax deferral and exclusion on capital gains reinvested</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location must be within designated OZ boundary; downtown Las Cruces zone exists</w:t>
            </w:r>
          </w:p>
        </w:tc>
        <w:tc>
          <w:tcPr>
            <w:tcW w:type="dxa" w:w="1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Medium — investor-level benefit, not direct grant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Downtown Las Cruces Partnership (DLCP)</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$25,000 (matching)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if in DLCP corridor; for-profit storefront; retail, restaurant, or entertainment use</w:t>
            </w:r>
          </w:p>
        </w:tc>
        <w:tc>
          <w:tcPr>
            <w:tcW w:type="dxa" w:w="1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High — apply in Phase 2 with architect documentation</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Small Business Safety Improvement Grant</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 / LCPD</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$5,000</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if in El Paseo/South Solano MRA; ≤40 FTE; independently owned for-profit</w:t>
            </w:r>
          </w:p>
        </w:tc>
        <w:tc>
          <w:tcPr>
            <w:tcW w:type="dxa" w:w="1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Medium — apply at opening; covers cameras, doors, lighting</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N.1 Local Economic Development Act (NMFA)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NOTE: NMFA was removed from this grant strategy per NM EDD guidance (David White, April 2026): NMFA is not a viable avenue for this project structure. NMFA programs are the recommended state financing alternative. NMFA (nmfa.nets to Local Governments (Municipality and/or County) to assist expanding or relocating businesses that are Qualified Entities that will stimulate economic development and produce public benefits. All NMFA grants are funded on a strictly reimbursement basis — the Hub spends money first, then submits for reimbursement after project milestones are verified.</w:t>
            </w:r>
          </w:p>
        </w:tc>
      </w:tr>
    </w:tbl>
    <w:p>
      <w:pPr>
        <w:spacing w:after="80" w:before="80"/>
      </w:pPr>
      <w:r>
        <w:t xml:space="preserve"/>
      </w:r>
    </w:p>
    <w:p>
      <w:pPr>
        <w:spacing w:after="80" w:before="200"/>
      </w:pPr>
      <w:r>
        <w:rPr>
          <w:rFonts w:ascii="Arial" w:cs="Arial" w:eastAsia="Arial" w:hAnsi="Arial"/>
          <w:b/>
          <w:bCs/>
          <w:color w:val="14746F"/>
          <w:sz w:val="24"/>
          <w:szCs w:val="24"/>
        </w:rPr>
        <w:t xml:space="preserve">N.1.1 Qualifying Entity Analysis</w:t>
      </w:r>
    </w:p>
    <w:p>
      <w:pPr>
        <w:spacing w:after="80" w:before="60"/>
      </w:pPr>
      <w:r>
        <w:rPr>
          <w:rFonts w:ascii="Arial" w:cs="Arial" w:eastAsia="Arial" w:hAnsi="Arial"/>
          <w:color w:val="1A1A1A"/>
          <w:sz w:val="22"/>
          <w:szCs w:val="22"/>
        </w:rPr>
        <w:t xml:space="preserve">NMFA offers small-business loans, credit-enhancement programs, and sector-specific funds that are more accessible and affordable than traditional lending per NM EDD guidance. Contact NMFA at nmfa.net to walk through available prograre, syndicate, association, or other person that meets one or a combination of:</w:t>
      </w:r>
    </w:p>
    <w:p>
      <w:pPr>
        <w:pStyle w:val="ListParagraph"/>
        <w:numPr>
          <w:ilvl w:val="0"/>
          <w:numId w:val="2"/>
        </w:numPr>
        <w:spacing w:after="40" w:before="40"/>
      </w:pPr>
      <w:r>
        <w:rPr>
          <w:rFonts w:ascii="Arial" w:cs="Arial" w:eastAsia="Arial" w:hAnsi="Arial"/>
          <w:color w:val="1A1A1A"/>
          <w:sz w:val="22"/>
          <w:szCs w:val="22"/>
        </w:rPr>
        <w:t xml:space="preserve">An industry for the manufacturing, processing, or assembling of agricultural or manufactured products</w:t>
      </w:r>
    </w:p>
    <w:p>
      <w:pPr>
        <w:pStyle w:val="ListParagraph"/>
        <w:numPr>
          <w:ilvl w:val="0"/>
          <w:numId w:val="2"/>
        </w:numPr>
        <w:spacing w:after="40" w:before="40"/>
      </w:pPr>
      <w:r>
        <w:rPr>
          <w:rFonts w:ascii="Arial" w:cs="Arial" w:eastAsia="Arial" w:hAnsi="Arial"/>
          <w:color w:val="1A1A1A"/>
          <w:sz w:val="22"/>
          <w:szCs w:val="22"/>
        </w:rPr>
        <w:t xml:space="preserve">A commercial enterprise for storing, warehousing, distributing, or selling products of agriculture, mining, or manufactured goods</w:t>
      </w:r>
    </w:p>
    <w:p>
      <w:pPr>
        <w:pStyle w:val="ListParagraph"/>
        <w:numPr>
          <w:ilvl w:val="0"/>
          <w:numId w:val="2"/>
        </w:numPr>
        <w:spacing w:after="40" w:before="40"/>
      </w:pPr>
      <w:r>
        <w:rPr>
          <w:rFonts w:ascii="Arial" w:cs="Arial" w:eastAsia="Arial" w:hAnsi="Arial"/>
          <w:color w:val="1A1A1A"/>
          <w:sz w:val="22"/>
          <w:szCs w:val="22"/>
        </w:rPr>
        <w:t xml:space="preserve">An 'Economic Base Employer' — an employer deemed eligible for in-plant training assistance by NMEDD's Job Training Incentive Program (JWIOA)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NMFA Program Fit</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Does the Hub Qualify?</w:t>
            </w:r>
          </w:p>
        </w:tc>
        <w:tc>
          <w:tcPr>
            <w:tcW w:type="dxa" w:w="5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Analysis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Manufacturing/processing/assembling agricultural or manufactured products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Partial — arguable</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Hub's commissary kitchen and ghost kitchen bays process and package food products for distribution. The cider bar distributes New Mexico-produced cider. The incubator stalls produce food for retail sale. A careful framing of the commissary and ghost kitchen as food processing operations could qualify under this category. This is the strongest argument.</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Commercial enterprise storing/warehousing/distributing products of agriculture or manufactured goods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Partial — arguable</w:t>
            </w:r>
          </w:p>
        </w:tc>
        <w:tc>
          <w:tcPr>
            <w:tcW w:type="dxa" w:w="5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 stores, distributes, and sells food products of New Mexico agriculture (NM chile, NM-produced cider, local farm produce featured in stalls). The cider bar specifically curates and distributes NM-origin craft cider. This framing is viable but secondary.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Economic Base Employer (eligible for JWIOA)</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Most likely YES</w:t>
            </w:r>
          </w:p>
        </w:tc>
        <w:tc>
          <w:tcPr>
            <w:tcW w:type="dxa" w:w="5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 creates new, permanent, wage-paying jobs in Las Cruces that generate gross receipts taxes and produce measurable economic multiplier effects. If the Hub qualifies for WIOA (analyzed in N.3), it automatically qualifies as an Economic Base Employer for NMFA purposes. WIOA and NMFA eligibility are explicitly linked. This is the cleanest path to NMFA qualification.</w:t>
            </w:r>
          </w:p>
        </w:tc>
      </w:tr>
    </w:tbl>
    <w:p>
      <w:pPr>
        <w:spacing w:after="80" w:before="80"/>
      </w:pPr>
      <w:r>
        <w:t xml:space="preserve"/>
      </w:r>
    </w:p>
    <w:p>
      <w:pPr>
        <w:spacing w:after="80" w:before="200"/>
      </w:pPr>
      <w:r>
        <w:rPr>
          <w:rFonts w:ascii="Arial" w:cs="Arial" w:eastAsia="Arial" w:hAnsi="Arial"/>
          <w:b/>
          <w:bCs/>
          <w:color w:val="14746F"/>
          <w:sz w:val="24"/>
          <w:szCs w:val="24"/>
        </w:rPr>
        <w:t xml:space="preserve">N.1.2 What NMEDD Prioritizes (Score These in the Application)</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3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NMEDD Priority Factor</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Evidence</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Application Narrative Strength</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Significant Community Impact and Support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Downtown location; food hall + incubator model; 8,000 sq ft activation of vacant commercial space; cultural programming serving all Las Cruces communities; Letter of Support from DLCP, MVEDA, Visit Las Cruces, NMSU, DACC</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VERY STRONG — multiple institutional endorsements; activates MRA priority corridor; serves documented underserved food entrepreneur population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Rural and Underserved Areas of New Mexico</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Las Cruces qualifies as a rural/underserved area relative to Albuquerque and Santa Fe; southern NM has the lowest density of food incubator infrastructure in the state; El Calvario serves only 15 businesses</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STRONG — use USDA RFSI grant (which El Calvario received) as precedent that this area is classified as underserved for food infrastructure purposes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Increased Wages and Job Creation</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creates 15–22 direct jobs (GM, Cider Mgr, Marketing Lead, Floor Staff, Commissary Staff, etc.); 12+ vendor businesses launched; indirect jobs from vendor supply chains and event economy</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STRONG — document each job title, wage rate ($17–$22/hr), benefits, and whether above Las Cruces median wage. Build a formal job creation table for the application.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Significant New Capital Investment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$1.3M–$1.5M total project investment; $945K buildout creating permanent leasehold improvements; private investment in downtown MRA corridor</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STRONG — NMFA wants to see that its grant catalyzes significant private capital. The SBA loan and equity together represent $1.1M+ of private capital levered on the public grant.</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Environmentally Sustainable Outcomes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Grease interceptor eliminates untreated FOG discharge; local sourcing reduces food miles; commissary reduces per-vendor buildout waste vs. 13 independent restaurants; cider bar features NM-origin products reducing out-of-region supply chain</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MODERATE — include but do not over-weight. The sustainable outcomes narrative is supporting, not primary.</w:t>
            </w:r>
          </w:p>
        </w:tc>
      </w:tr>
    </w:tbl>
    <w:p>
      <w:pPr>
        <w:spacing w:after="80" w:before="80"/>
      </w:pPr>
      <w:r>
        <w:t xml:space="preserve"/>
      </w:r>
    </w:p>
    <w:p>
      <w:pPr>
        <w:spacing w:after="80" w:before="200"/>
      </w:pPr>
      <w:r>
        <w:rPr>
          <w:rFonts w:ascii="Arial" w:cs="Arial" w:eastAsia="Arial" w:hAnsi="Arial"/>
          <w:b/>
          <w:bCs/>
          <w:color w:val="14746F"/>
          <w:sz w:val="24"/>
          <w:szCs w:val="24"/>
        </w:rPr>
        <w:t xml:space="preserve">N.1.3 Reimbursement Basis — What NMFA Will and Will Not Fund</w:t>
      </w:r>
    </w:p>
    <w:p>
      <w:pPr>
        <w:spacing w:after="80" w:before="60"/>
      </w:pPr>
      <w:r>
        <w:rPr>
          <w:rFonts w:ascii="Arial" w:cs="Arial" w:eastAsia="Arial" w:hAnsi="Arial"/>
          <w:color w:val="1A1A1A"/>
          <w:sz w:val="22"/>
          <w:szCs w:val="22"/>
        </w:rPr>
        <w:t xml:space="preserve">Because NMFA is strictly reimbursement-based, the Hub must spend money first, then document and submit for reimbursement. This has two operational implications:</w:t>
      </w:r>
    </w:p>
    <w:p>
      <w:pPr>
        <w:pStyle w:val="ListParagraph"/>
        <w:numPr>
          <w:ilvl w:val="0"/>
          <w:numId w:val="2"/>
        </w:numPr>
        <w:spacing w:after="40" w:before="40"/>
      </w:pPr>
      <w:r>
        <w:rPr>
          <w:rFonts w:ascii="Arial" w:cs="Arial" w:eastAsia="Arial" w:hAnsi="Arial"/>
          <w:b/>
          <w:bCs/>
          <w:color w:val="1B3A5C"/>
          <w:sz w:val="22"/>
          <w:szCs w:val="22"/>
        </w:rPr>
        <w:t xml:space="preserve">Cash Flow Timing: </w:t>
      </w:r>
      <w:r>
        <w:rPr>
          <w:rFonts w:ascii="Arial" w:cs="Arial" w:eastAsia="Arial" w:hAnsi="Arial"/>
          <w:color w:val="1A1A1A"/>
          <w:sz w:val="22"/>
          <w:szCs w:val="22"/>
        </w:rPr>
        <w:t xml:space="preserve">NMFA financing proceeds are available at or after closing based on program terms. Consult NMFA directly for disbursement schedules. They flow after Phase 1 and Phase 2 milestones are verified by NMEDD. Budget accordingly — NMFA reimbursements arrive 60–120 days after documented expenditure.</w:t>
      </w:r>
    </w:p>
    <w:p>
      <w:pPr>
        <w:pStyle w:val="ListParagraph"/>
        <w:numPr>
          <w:ilvl w:val="0"/>
          <w:numId w:val="2"/>
        </w:numPr>
        <w:spacing w:after="40" w:before="40"/>
      </w:pPr>
      <w:r>
        <w:rPr>
          <w:rFonts w:ascii="Arial" w:cs="Arial" w:eastAsia="Arial" w:hAnsi="Arial"/>
          <w:b/>
          <w:bCs/>
          <w:color w:val="1B3A5C"/>
          <w:sz w:val="22"/>
          <w:szCs w:val="22"/>
        </w:rPr>
        <w:t xml:space="preserve">What Gets Reimbursed: </w:t>
      </w:r>
      <w:r>
        <w:rPr>
          <w:rFonts w:ascii="Arial" w:cs="Arial" w:eastAsia="Arial" w:hAnsi="Arial"/>
          <w:color w:val="1A1A1A"/>
          <w:sz w:val="22"/>
          <w:szCs w:val="22"/>
        </w:rPr>
        <w:t xml:space="preserve">NMFA programs typically cover capital expenses including equipment, leasehold improvementsements, land (if applicable), and infrastructure. It does not typically reimburse ongoing operating expenses. The Hub's $945K buildout and $195K FF&amp;E are the primary reimbursable cost base.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400"/>
        <w:gridCol w:w="3360"/>
      </w:tblGrid>
      <w:tr>
        <w:tc>
          <w:tcPr>
            <w:tcW w:type="dxa" w:w="3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Cost Category</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NMFA Eligible?</w:t>
            </w:r>
          </w:p>
        </w:tc>
        <w:tc>
          <w:tcPr>
            <w:tcW w:type="dxa" w:w="1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Amount</w:t>
            </w:r>
          </w:p>
        </w:tc>
        <w:tc>
          <w:tcPr>
            <w:tcW w:type="dxa" w:w="3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Leasehold Improvements (kitchen stalls, HVAC, plumbing, electrical)</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$580,000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Core capital expenditure — primary NMFA target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Commercial Kitchen Equipment and FF&amp;E</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$195,000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Equipment for processing/distribution — directly fits NMFA manufacturing/processing framing</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Cider Bar Buildout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 — partial</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$65,000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Framed as distribution infrastructure for NM agricultural products (cider)</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Grease Interceptor</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YES</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$35,000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Required environmental infrastructure for food processing</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POS, IT, Technology Systems</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MAYBE</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$40,000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Verify with NMEDD — some technology is reimbursable as production support equipment</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Pre-Opening Staff Wages</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Operating expense — not NMFA-eligible</w:t>
            </w:r>
          </w:p>
        </w:tc>
      </w:tr>
      <w:tr>
        <w:tc>
          <w:tcPr>
            <w:tcW w:type="dxa" w:w="3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Working Capital Reserve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w:t>
            </w:r>
          </w:p>
        </w:tc>
        <w:tc>
          <w:tcPr>
            <w:tcW w:type="dxa" w:w="1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$272,000</w:t>
            </w:r>
          </w:p>
        </w:tc>
        <w:tc>
          <w:tcPr>
            <w:tcW w:type="dxa" w:w="3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Operating reserve — not NMFA-eligible</w:t>
            </w:r>
          </w:p>
        </w:tc>
      </w:tr>
      <w:tr>
        <w:tc>
          <w:tcPr>
            <w:tcW w:type="dxa" w:w="3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Marketing and Grand Opening</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w:t>
            </w:r>
          </w:p>
        </w:tc>
        <w:tc>
          <w:tcPr>
            <w:tcW w:type="dxa" w:w="1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$35,000</w:t>
            </w:r>
          </w:p>
        </w:tc>
        <w:tc>
          <w:tcPr>
            <w:tcW w:type="dxa" w:w="3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Marketing is not a NMFA-eligible capital expense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LEDA Application Timing — Critical Path Item</w:t>
            </w:r>
          </w:p>
          <w:p>
            <w:pPr>
              <w:spacing w:before="40"/>
            </w:pPr>
            <w:r>
              <w:rPr>
                <w:rFonts w:ascii="Arial" w:cs="Arial" w:eastAsia="Arial" w:hAnsi="Arial"/>
                <w:color w:val="1A1A1A"/>
                <w:sz w:val="21"/>
                <w:szCs w:val="21"/>
              </w:rPr>
              <w:t xml:space="preserve">NMFA applications are submitted directly to nmfa.net. Contact NMFA Program Officer to discuss project fit. NM EDD (David White) confirmed NMFA as the recommended state financing tool for this project type (April 2026). Applications can proceed in parallel with SBA 7(a) pre-qualification. NMFA may provide credit enhancement that strengthens the SBA application. Process begins eatment first, then to NMEDD for state review. This means the City becomes a co-applicant. The single highest-leverage early action for NMFA is to schedule an introductory meeting with the City of Las Cruces Economic Development Department (575-541-2425 / economicdev@las-cruces.org) in Month 1 to confirm that the City will sponsor the Hub's NMFA application. Without City sponsorship, NMFA is not accessible. With it, the Hub has a state-level institutional backer and $100K–$200K in verified reimbursement capacity.</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N.2 Gross Receipts Tax Incentive Program (GRIP)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GRIP is offered by the City of Las Cruces. Businesses create infrastructure in exchange for up to 75% of GRT generated over the term of the planned infrastructure build-out. Eligibility requires meeting or exceeding $5,000,000 per year in sales volume after three years of operation.</w:t>
            </w:r>
          </w:p>
        </w:tc>
      </w:tr>
    </w:tbl>
    <w:p>
      <w:pPr>
        <w:spacing w:after="80" w:before="80"/>
      </w:pPr>
      <w:r>
        <w:t xml:space="preserve"/>
      </w:r>
    </w:p>
    <w:p>
      <w:pPr>
        <w:spacing w:after="80" w:before="200"/>
      </w:pPr>
      <w:r>
        <w:rPr>
          <w:rFonts w:ascii="Arial" w:cs="Arial" w:eastAsia="Arial" w:hAnsi="Arial"/>
          <w:b/>
          <w:bCs/>
          <w:color w:val="14746F"/>
          <w:sz w:val="24"/>
          <w:szCs w:val="24"/>
        </w:rPr>
        <w:t xml:space="preserve">N.2.1 Hub Eligibility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GRIP Requirement</w:t>
            </w:r>
          </w:p>
        </w:tc>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Projection</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Gap Analysis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$5,000,000+ annual sales after Year 3</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Year 3 revenue: ~$1,670,000</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falls approximately $3.3M SHORT of the GRIP sales threshold at Year 3. GRIP requires a fundamentally larger business than the Hub's current model.</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Large-scale business (retailers, restaurants, large employers)</w:t>
            </w:r>
          </w:p>
        </w:tc>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mid-scale food hall with 13 stalls</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GRIP is designed for anchor tenants, big-box-adjacent businesses, or large hospitality developments — not an 8,000 sq ft food hall incubator.</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Infrastructure creation that generates incremental GRT</w:t>
            </w:r>
          </w:p>
        </w:tc>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does generate GRT (Las Cruces rate: 8.39%)</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WOULD generate incremental GRT — estimated $130,000–$140,000/year at steady state — but at a scale well below what GRIP is structured to support.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FFF4E0" w:val="clear"/>
            <w:tcMar>
              <w:top w:type="dxa" w:w="100"/>
              <w:left w:type="dxa" w:w="200"/>
              <w:bottom w:type="dxa" w:w="100"/>
              <w:right w:type="dxa" w:w="120"/>
            </w:tcMar>
          </w:tcPr>
          <w:p>
            <w:r>
              <w:rPr>
                <w:rFonts w:ascii="Arial" w:cs="Arial" w:eastAsia="Arial" w:hAnsi="Arial"/>
                <w:b/>
                <w:bCs/>
                <w:color w:val="92600A"/>
                <w:sz w:val="22"/>
                <w:szCs w:val="22"/>
              </w:rPr>
              <w:t xml:space="preserve">GRIP: Not Applicable at Current Hub Scale</w:t>
            </w:r>
          </w:p>
          <w:p>
            <w:pPr>
              <w:spacing w:before="40"/>
            </w:pPr>
            <w:r>
              <w:rPr>
                <w:rFonts w:ascii="Arial" w:cs="Arial" w:eastAsia="Arial" w:hAnsi="Arial"/>
                <w:color w:val="1A1A1A"/>
                <w:sz w:val="21"/>
                <w:szCs w:val="21"/>
              </w:rPr>
              <w:t xml:space="preserve">The Hub does not qualify for GRIP. The $5M annual sales minimum is approximately 3x the Hub's Year 3 revenue projection. Do not reference GRIP in grant applications — doing so signals to City reviewers that the applicant does not understand the program, which undermines credibility for the programs the Hub DOES qualify for. GRIP is noted here for completeness and to document the deliberate decision not to pursue it.</w:t>
            </w:r>
          </w:p>
        </w:tc>
      </w:tr>
    </w:tbl>
    <w:p>
      <w:pPr>
        <w:spacing w:after="80" w:before="80"/>
      </w:pPr>
      <w:r>
        <w:t xml:space="preserve"/>
      </w:r>
    </w:p>
    <w:p>
      <w:pPr>
        <w:spacing w:after="80" w:before="60"/>
      </w:pPr>
      <w:r>
        <w:rPr>
          <w:rFonts w:ascii="Arial" w:cs="Arial" w:eastAsia="Arial" w:hAnsi="Arial"/>
          <w:color w:val="1A1A1A"/>
          <w:sz w:val="22"/>
          <w:szCs w:val="22"/>
        </w:rPr>
        <w:t xml:space="preserve">Strategic Alternative: The Hub should instead pursue GRT-adjacent benefits through the Metropolitan Redevelopment Area (MRA) TIDD mechanism (analyzed in Supplement K and Supplement L). MRA-based GRT increment financing does not require a $5M threshold and is accessible to the Hub as a qualified MRA project.</w:t>
      </w:r>
    </w:p>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N.3 Job Training Incentive Program (WIOA / EmployNM)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WIOA funds classroom and on-the-job training for newly-created jobs in expanding or relocating businesses for up to 6 months. The program reimburses 50–75% of employee wages. Custom training at a New Mexico public educational institution may also be reimbursed.</w:t>
            </w:r>
          </w:p>
        </w:tc>
      </w:tr>
    </w:tbl>
    <w:p>
      <w:pPr>
        <w:spacing w:after="80" w:before="80"/>
      </w:pPr>
      <w:r>
        <w:t xml:space="preserve"/>
      </w:r>
    </w:p>
    <w:p>
      <w:pPr>
        <w:spacing w:after="80" w:before="200"/>
      </w:pPr>
      <w:r>
        <w:rPr>
          <w:rFonts w:ascii="Arial" w:cs="Arial" w:eastAsia="Arial" w:hAnsi="Arial"/>
          <w:b/>
          <w:bCs/>
          <w:color w:val="14746F"/>
          <w:sz w:val="24"/>
          <w:szCs w:val="24"/>
        </w:rPr>
        <w:t xml:space="preserve">N.3.1 Hub Eligibility Assessment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WIOA Requirement</w:t>
            </w:r>
          </w:p>
        </w:tc>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Status</w:t>
            </w:r>
          </w:p>
        </w:tc>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Assessment</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Expanding or relocating business</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new business creating net-new jobs in Las Cruces</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businesses creating first-time jobs typically qualify as 'expanding' in WIOA language — verified with NMEDD at application</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Newly-created jobs (not replacement positions)</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All Hub jobs are new — zero pre-existing positions</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Full eligibility — every GM, floor staff, cider bar, and commissary position is a newly created job</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6 months of wage reimbursement per employee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pre-opening period is 2–3 months; post-opening ramp is 6+ months</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WIOA/EmployNM can provide training dollars and wage subsidies for qualifying hires during the first months of wages for every new hire — a significant cash infusion during the highest-burn period of Year 1</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50–75% wage reimbursement rate</w:t>
            </w:r>
          </w:p>
        </w:tc>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target wage: $17–$22/hr; $36,000–$46,000/yr per FTE</w:t>
            </w:r>
          </w:p>
        </w:tc>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At 18 employees × $40,000 avg × 6 months × 62.5% avg reimbursement = approximately $135,000 in WIOA-eligible training reimbursements in Year 1</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Custom training at NM public institution reimbursable</w:t>
            </w:r>
          </w:p>
        </w:tc>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has NMSU and DACC workforce development partnerships</w:t>
            </w:r>
          </w:p>
        </w:tc>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ServSafe certification, culinary technique, food business management — all delivered through NMSU/DACC — are WIOA-eligible training costs</w:t>
            </w:r>
          </w:p>
        </w:tc>
      </w:tr>
    </w:tbl>
    <w:p>
      <w:pPr>
        <w:spacing w:after="80" w:before="80"/>
      </w:pPr>
      <w:r>
        <w:t xml:space="preserve"/>
      </w:r>
    </w:p>
    <w:p>
      <w:pPr>
        <w:spacing w:after="80" w:before="200"/>
      </w:pPr>
      <w:r>
        <w:rPr>
          <w:rFonts w:ascii="Arial" w:cs="Arial" w:eastAsia="Arial" w:hAnsi="Arial"/>
          <w:b/>
          <w:bCs/>
          <w:color w:val="14746F"/>
          <w:sz w:val="24"/>
          <w:szCs w:val="24"/>
        </w:rPr>
        <w:t xml:space="preserve">N.3.2 WIOA Financial Model for the Hub</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1800"/>
        <w:gridCol w:w="1800"/>
        <w:gridCol w:w="1760"/>
      </w:tblGrid>
      <w:tr>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Job Category</w:t>
            </w:r>
          </w:p>
        </w:tc>
        <w:tc>
          <w:tcPr>
            <w:tcW w:type="dxa" w:w="1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 Positions</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Avg Wage/Month</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WIOA-Eligible Period</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Reimbursement Rate</w:t>
            </w:r>
          </w:p>
        </w:tc>
        <w:tc>
          <w:tcPr>
            <w:tcW w:type="dxa" w:w="17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WIOA/EmployNM Value</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General Manager</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$5,500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$16,500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Cider Bar Manager</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$4,200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$15,750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Marketing / Events Lead</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$14,250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Floor Lead / Shift Supervisor</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$3,200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$24,000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Cider Bar Staff (part-time to full-time)</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$2,800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$37,800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Commissary Kitchen Lead</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$3,600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62.5%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$13,500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Commissary / Cleaning Staff</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$2,600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$23,400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Admin / Bookkeeper (part-time)</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$2,400</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$10,800</w:t>
            </w:r>
          </w:p>
        </w:tc>
      </w:tr>
      <w:tr>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Apprentice / Workforce Development</w:t>
            </w:r>
          </w:p>
        </w:tc>
        <w:tc>
          <w:tcPr>
            <w:tcW w:type="dxa" w:w="1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$2,200</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w:t>
            </w:r>
          </w:p>
        </w:tc>
        <w:tc>
          <w:tcPr>
            <w:tcW w:type="dxa" w:w="17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$29,700</w:t>
            </w:r>
          </w:p>
        </w:tc>
      </w:tr>
      <w:tr>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TOTAL</w:t>
            </w:r>
          </w:p>
        </w:tc>
        <w:tc>
          <w:tcPr>
            <w:tcW w:type="dxa" w:w="1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15 FTE</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~$3,320 avg</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 months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t>
            </w:r>
          </w:p>
        </w:tc>
        <w:tc>
          <w:tcPr>
            <w:tcW w:type="dxa" w:w="17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$185,700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WIOA/EmployNM Is the Hub's Most Accessiblelized Funding Source</w:t>
            </w:r>
          </w:p>
          <w:p>
            <w:pPr>
              <w:spacing w:before="40"/>
            </w:pPr>
            <w:r>
              <w:rPr>
                <w:rFonts w:ascii="Arial" w:cs="Arial" w:eastAsia="Arial" w:hAnsi="Arial"/>
                <w:color w:val="1A1A1A"/>
                <w:sz w:val="21"/>
                <w:szCs w:val="21"/>
              </w:rPr>
              <w:t xml:space="preserve">WIOA/EmployNM was added to the funding strategy per NM EDD guidance (David White, April 2026). TIP/WIOA was removed as it is tech-focused and not a fit for this project. WIOA was not in the original funding stack. At a conservative 60% reimbursement rate across 15 employees for 6 months, WIOA represents approximately $135,000–$185,000 in wage reimbursements — making it potentially the second-largest grant category after NMFA. It also unlocks NMFA eligibility by establishing the Hub as an Economic Base Employer. Apply for WIOA at Month 1 concurrently with NMFA outreach. WIOA is administered directly by NMEDD (not through the City), so this is a parallel track with NMFA, not sequential.</w:t>
            </w:r>
          </w:p>
        </w:tc>
      </w:tr>
    </w:tbl>
    <w:p>
      <w:pPr>
        <w:spacing w:after="80" w:before="80"/>
      </w:pPr>
      <w:r>
        <w:t xml:space="preserve"/>
      </w:r>
    </w:p>
    <w:p>
      <w:pPr>
        <w:spacing w:after="80" w:before="200"/>
      </w:pPr>
      <w:r>
        <w:rPr>
          <w:rFonts w:ascii="Arial" w:cs="Arial" w:eastAsia="Arial" w:hAnsi="Arial"/>
          <w:b/>
          <w:bCs/>
          <w:color w:val="14746F"/>
          <w:sz w:val="24"/>
          <w:szCs w:val="24"/>
        </w:rPr>
        <w:t xml:space="preserve">N.3.3 WIOA + NMFA Synergy</w:t>
      </w:r>
    </w:p>
    <w:p>
      <w:pPr>
        <w:spacing w:after="80" w:before="60"/>
      </w:pPr>
      <w:r>
        <w:rPr>
          <w:rFonts w:ascii="Arial" w:cs="Arial" w:eastAsia="Arial" w:hAnsi="Arial"/>
          <w:color w:val="1A1A1A"/>
          <w:sz w:val="22"/>
          <w:szCs w:val="22"/>
        </w:rPr>
        <w:t xml:space="preserve">WIOA/EmployNM and NMFA are explicitly linked. NOTE: NMFA Economic Base Employer eligibility is not a pathway for this project per NM EDD guidance (April 2026). This section is retained for reference only. NMFA does not require Economic Base Employer status — contact nmfa.net for current eligibility criteria for in-plant training assistance by NMEDD's Job Training Incentive Program.' If the Hub is approved for WIOA, it is automatically an Economic Base Employer for NMFA purposes, eliminating the most ambiguous qualification question. The recommended sequencing is:</w:t>
      </w:r>
    </w:p>
    <w:p>
      <w:pPr>
        <w:pStyle w:val="ListParagraph"/>
        <w:numPr>
          <w:ilvl w:val="0"/>
          <w:numId w:val="2"/>
        </w:numPr>
        <w:spacing w:after="40" w:before="40"/>
      </w:pPr>
      <w:r>
        <w:rPr>
          <w:rFonts w:ascii="Arial" w:cs="Arial" w:eastAsia="Arial" w:hAnsi="Arial"/>
          <w:b/>
          <w:bCs/>
          <w:color w:val="1B3A5C"/>
          <w:sz w:val="22"/>
          <w:szCs w:val="22"/>
        </w:rPr>
        <w:t xml:space="preserve">Step 1 (Month 1): </w:t>
      </w:r>
      <w:r>
        <w:rPr>
          <w:rFonts w:ascii="Arial" w:cs="Arial" w:eastAsia="Arial" w:hAnsi="Arial"/>
          <w:color w:val="1A1A1A"/>
          <w:sz w:val="22"/>
          <w:szCs w:val="22"/>
        </w:rPr>
        <w:t xml:space="preserve">Apply for WIOA first. WIOA approval establishes Economic Base Employer status.</w:t>
      </w:r>
    </w:p>
    <w:p>
      <w:pPr>
        <w:pStyle w:val="ListParagraph"/>
        <w:numPr>
          <w:ilvl w:val="0"/>
          <w:numId w:val="2"/>
        </w:numPr>
        <w:spacing w:after="40" w:before="40"/>
      </w:pPr>
      <w:r>
        <w:rPr>
          <w:rFonts w:ascii="Arial" w:cs="Arial" w:eastAsia="Arial" w:hAnsi="Arial"/>
          <w:b/>
          <w:bCs/>
          <w:color w:val="1B3A5C"/>
          <w:sz w:val="22"/>
          <w:szCs w:val="22"/>
        </w:rPr>
        <w:t xml:space="preserve">Step 2 (Month 2): </w:t>
      </w:r>
      <w:r>
        <w:rPr>
          <w:rFonts w:ascii="Arial" w:cs="Arial" w:eastAsia="Arial" w:hAnsi="Arial"/>
          <w:color w:val="1A1A1A"/>
          <w:sz w:val="22"/>
          <w:szCs w:val="22"/>
        </w:rPr>
        <w:t xml:space="preserve">Use WIOA approval letter as evidence of Economic Base Employer status in the NMFA application submitted through the City.</w:t>
      </w:r>
    </w:p>
    <w:p>
      <w:pPr>
        <w:pStyle w:val="ListParagraph"/>
        <w:numPr>
          <w:ilvl w:val="0"/>
          <w:numId w:val="2"/>
        </w:numPr>
        <w:spacing w:after="40" w:before="40"/>
      </w:pPr>
      <w:r>
        <w:rPr>
          <w:rFonts w:ascii="Arial" w:cs="Arial" w:eastAsia="Arial" w:hAnsi="Arial"/>
          <w:b/>
          <w:bCs/>
          <w:color w:val="1B3A5C"/>
          <w:sz w:val="22"/>
          <w:szCs w:val="22"/>
        </w:rPr>
        <w:t xml:space="preserve">Step 3 (Month 3): </w:t>
      </w:r>
      <w:r>
        <w:rPr>
          <w:rFonts w:ascii="Arial" w:cs="Arial" w:eastAsia="Arial" w:hAnsi="Arial"/>
          <w:color w:val="1A1A1A"/>
          <w:sz w:val="22"/>
          <w:szCs w:val="22"/>
        </w:rPr>
        <w:t xml:space="preserve">Use both WIOA and NMFA approvals as Letters of Commitment for the SBA 7(a) underwriting, strengthening the capital stack documentation.</w:t>
      </w:r>
    </w:p>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N.4 Opportunity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Opportunity Zones are an economic development tool to incentivize long-term private sector investment in low-income communities. The federal program provides: (1) temporary deferral of capital gains reinvested in a Qualified Opportunity Fund (until Dec 31, 2026 or disposition); (2) step-up in basis of 10% if held 5 years, additional 5% if held 7 years; (3) permanent exclusion from taxable income of capital gains from the sale of OZ investment if held 10+ years. Downtown Las Cruces/Amador Próximo is one of two designated Opportunity Zones in Las Cruces.</w:t>
            </w:r>
          </w:p>
        </w:tc>
      </w:tr>
    </w:tbl>
    <w:p>
      <w:pPr>
        <w:spacing w:after="80" w:before="80"/>
      </w:pPr>
      <w:r>
        <w:t xml:space="preserve"/>
      </w:r>
    </w:p>
    <w:p>
      <w:pPr>
        <w:spacing w:after="80" w:before="200"/>
      </w:pPr>
      <w:r>
        <w:rPr>
          <w:rFonts w:ascii="Arial" w:cs="Arial" w:eastAsia="Arial" w:hAnsi="Arial"/>
          <w:b/>
          <w:bCs/>
          <w:color w:val="14746F"/>
          <w:sz w:val="24"/>
          <w:szCs w:val="24"/>
        </w:rPr>
        <w:t xml:space="preserve">N.4.1 How Opportunity Zones Apply to the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OZ Mechanism</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What It Means for the Hub</w:t>
            </w:r>
          </w:p>
        </w:tc>
        <w:tc>
          <w:tcPr>
            <w:tcW w:type="dxa" w:w="3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Strategic Value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Qualified Opportunity Fund (QOF) investment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An investor who has capital gains from another source can roll those gains into a QOF that invests in the Hub's real estate or business improvements in the OZ</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the Hub's site is in the Downtown Las Cruces/Amador Próximo OZ, the operator can structure investor equity as a QOF investment — attracting a specific class of capital-gains investors who need OZ placements before 12/31/2026</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Deferral until Dec 31, 2026 or disposition</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An investor who rolls capital gains into a QOF by 12/31/2026 defers their tax bill until 12/31/2026 or until they sell their QOF interest</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Hub's October 2026 Grand Opening target puts it squarely in the final window for the federal OZ tax deferral benefit — a potential competitive advantage for attracting OZ-motivated investors now</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Permanent exclusion on appreciation after 10 years</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If the investor holds the QOF interest for 10+ years, ALL gains on the OZ investment itself are tax-free</w:t>
            </w:r>
          </w:p>
        </w:tc>
        <w:tc>
          <w:tcPr>
            <w:tcW w:type="dxa" w:w="3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For investors projecting a 10-year hold horizon in an appreciating downtown Las Cruces asset, this is a powerful wealth-building incentive on top of the Hub's projected 3x investor return</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Equity investment (not grant)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OZ incentives do not provide a grant — they attract equity investors; the Hub must still offer return on investment</w:t>
            </w:r>
          </w:p>
        </w:tc>
        <w:tc>
          <w:tcPr>
            <w:tcW w:type="dxa" w:w="3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OZ is an investor-acquisition tool, not a capital-reduction tool. Use it to market to capital-gains investors, not as a substitute for grant funding.</w:t>
            </w:r>
          </w:p>
        </w:tc>
      </w:tr>
    </w:tbl>
    <w:p>
      <w:pPr>
        <w:spacing w:after="80" w:before="80"/>
      </w:pPr>
      <w:r>
        <w:t xml:space="preserve"/>
      </w:r>
    </w:p>
    <w:p>
      <w:pPr>
        <w:spacing w:after="80" w:before="200"/>
      </w:pPr>
      <w:r>
        <w:rPr>
          <w:rFonts w:ascii="Arial" w:cs="Arial" w:eastAsia="Arial" w:hAnsi="Arial"/>
          <w:b/>
          <w:bCs/>
          <w:color w:val="14746F"/>
          <w:sz w:val="24"/>
          <w:szCs w:val="24"/>
        </w:rPr>
        <w:t xml:space="preserve">N.4.2 Eligibility: Does the Hub's Site Fall in the Downtown Las Cruces 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600A" w:sz="6"/>
              <w:left w:val="thick" w:color="92600A" w:sz="18"/>
              <w:bottom w:val="single" w:color="92600A" w:sz="6"/>
              <w:right w:val="none" w:color="FFFFFF" w:sz="0"/>
            </w:tcBorders>
            <w:shd w:fill="FFF4E0" w:val="clear"/>
            <w:tcMar>
              <w:top w:type="dxa" w:w="100"/>
              <w:left w:type="dxa" w:w="200"/>
              <w:bottom w:type="dxa" w:w="100"/>
              <w:right w:type="dxa" w:w="120"/>
            </w:tcMar>
          </w:tcPr>
          <w:p>
            <w:r>
              <w:rPr>
                <w:rFonts w:ascii="Arial" w:cs="Arial" w:eastAsia="Arial" w:hAnsi="Arial"/>
                <w:b/>
                <w:bCs/>
                <w:color w:val="92600A"/>
                <w:sz w:val="22"/>
                <w:szCs w:val="22"/>
              </w:rPr>
              <w:t xml:space="preserve">Verify OZ Boundary Before Using in Investor Materials</w:t>
            </w:r>
          </w:p>
          <w:p>
            <w:pPr>
              <w:spacing w:before="40"/>
            </w:pPr>
            <w:r>
              <w:rPr>
                <w:rFonts w:ascii="Arial" w:cs="Arial" w:eastAsia="Arial" w:hAnsi="Arial"/>
                <w:color w:val="1A1A1A"/>
                <w:sz w:val="21"/>
                <w:szCs w:val="21"/>
              </w:rPr>
              <w:t xml:space="preserve">The Downtown Las Cruces/Amador Próximo Opportunity Zone is one of two OZ designations in Las Cruces. Before marketing the Hub as an OZ investment, the exact parcel must be confirmed within the OZ census tract boundary. The City of Las Cruces Economic Development Department and the NMEDD Opportunity Zone office (economicdev@las-cruces.org) can provide tract confirmation. A specific site address (from the pending LOI) is required to verify OZ eligibility with certainty.</w:t>
            </w:r>
          </w:p>
        </w:tc>
      </w:tr>
    </w:tbl>
    <w:p>
      <w:pPr>
        <w:spacing w:after="80" w:before="80"/>
      </w:pPr>
      <w:r>
        <w:t xml:space="preserve"/>
      </w:r>
    </w:p>
    <w:p>
      <w:pPr>
        <w:spacing w:after="80" w:before="200"/>
      </w:pPr>
      <w:r>
        <w:rPr>
          <w:rFonts w:ascii="Arial" w:cs="Arial" w:eastAsia="Arial" w:hAnsi="Arial"/>
          <w:b/>
          <w:bCs/>
          <w:color w:val="14746F"/>
          <w:sz w:val="24"/>
          <w:szCs w:val="24"/>
        </w:rPr>
        <w:t xml:space="preserve">N.4.3 Operational Recommendation: OZ as Investor Marketing Tool</w:t>
      </w:r>
    </w:p>
    <w:p>
      <w:pPr>
        <w:spacing w:after="80" w:before="60"/>
      </w:pPr>
      <w:r>
        <w:rPr>
          <w:rFonts w:ascii="Arial" w:cs="Arial" w:eastAsia="Arial" w:hAnsi="Arial"/>
          <w:color w:val="1A1A1A"/>
          <w:sz w:val="22"/>
          <w:szCs w:val="22"/>
        </w:rPr>
        <w:t xml:space="preserve">Once site confirmation is obtained, add an 'Opportunity Zone Investment' section to the Investor Tear Sheet (Supplement M) and pitch deck. The OZ framing is particularly compelling for:</w:t>
      </w:r>
    </w:p>
    <w:p>
      <w:pPr>
        <w:pStyle w:val="ListParagraph"/>
        <w:numPr>
          <w:ilvl w:val="0"/>
          <w:numId w:val="2"/>
        </w:numPr>
        <w:spacing w:after="40" w:before="40"/>
      </w:pPr>
      <w:r>
        <w:rPr>
          <w:rFonts w:ascii="Arial" w:cs="Arial" w:eastAsia="Arial" w:hAnsi="Arial"/>
          <w:color w:val="1A1A1A"/>
          <w:sz w:val="22"/>
          <w:szCs w:val="22"/>
        </w:rPr>
        <w:t xml:space="preserve">Investors with recent capital gains from real estate sales, stock liquidations, or business sales who need to deploy into a QOF before 12/31/2026</w:t>
      </w:r>
    </w:p>
    <w:p>
      <w:pPr>
        <w:pStyle w:val="ListParagraph"/>
        <w:numPr>
          <w:ilvl w:val="0"/>
          <w:numId w:val="2"/>
        </w:numPr>
        <w:spacing w:after="40" w:before="40"/>
      </w:pPr>
      <w:r>
        <w:rPr>
          <w:rFonts w:ascii="Arial" w:cs="Arial" w:eastAsia="Arial" w:hAnsi="Arial"/>
          <w:color w:val="1A1A1A"/>
          <w:sz w:val="22"/>
          <w:szCs w:val="22"/>
        </w:rPr>
        <w:t xml:space="preserve">Local Las Cruces investors who want community impact + tax benefit in a single vehicle</w:t>
      </w:r>
    </w:p>
    <w:p>
      <w:pPr>
        <w:pStyle w:val="ListParagraph"/>
        <w:numPr>
          <w:ilvl w:val="0"/>
          <w:numId w:val="2"/>
        </w:numPr>
        <w:spacing w:after="40" w:before="40"/>
      </w:pPr>
      <w:r>
        <w:rPr>
          <w:rFonts w:ascii="Arial" w:cs="Arial" w:eastAsia="Arial" w:hAnsi="Arial"/>
          <w:color w:val="1A1A1A"/>
          <w:sz w:val="22"/>
          <w:szCs w:val="22"/>
        </w:rPr>
        <w:t xml:space="preserve">Regional family offices or high-net-worth individuals in El Paso and Albuquerque who are actively seeking OZ placements in qualifying markets</w:t>
      </w:r>
    </w:p>
    <w:p>
      <w:pPr>
        <w:pStyle w:val="ListParagraph"/>
        <w:numPr>
          <w:ilvl w:val="0"/>
          <w:numId w:val="2"/>
        </w:numPr>
        <w:spacing w:after="40" w:before="40"/>
      </w:pPr>
      <w:r>
        <w:rPr>
          <w:rFonts w:ascii="Arial" w:cs="Arial" w:eastAsia="Arial" w:hAnsi="Arial"/>
          <w:color w:val="1A1A1A"/>
          <w:sz w:val="22"/>
          <w:szCs w:val="22"/>
        </w:rPr>
        <w:t xml:space="preserve">Angel investors who want a permanent exclusion horizon on a 10-year food hall appreciation story</w:t>
      </w:r>
    </w:p>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N.5 Renovate Main Street (DLCP Building Improvement Matching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6"/>
              <w:left w:val="thick" w:color="8B1A1A" w:sz="18"/>
              <w:bottom w:val="single" w:color="8B1A1A" w:sz="6"/>
              <w:right w:val="none" w:color="FFFFFF" w:sz="0"/>
            </w:tcBorders>
            <w:shd w:fill="FDECEA" w:val="clear"/>
            <w:tcMar>
              <w:top w:type="dxa" w:w="100"/>
              <w:left w:type="dxa" w:w="200"/>
              <w:bottom w:type="dxa" w:w="100"/>
              <w:right w:type="dxa" w:w="120"/>
            </w:tcMar>
          </w:tcPr>
          <w:p>
            <w:r>
              <w:rPr>
                <w:rFonts w:ascii="Arial" w:cs="Arial" w:eastAsia="Arial" w:hAnsi="Arial"/>
                <w:b/>
                <w:bCs/>
                <w:color w:val="8B1A1A"/>
                <w:sz w:val="22"/>
                <w:szCs w:val="22"/>
              </w:rPr>
              <w:t xml:space="preserve">Correction to Existing Plan Documents</w:t>
            </w:r>
          </w:p>
          <w:p>
            <w:pPr>
              <w:spacing w:before="30"/>
            </w:pPr>
            <w:r>
              <w:rPr>
                <w:rFonts w:ascii="Arial" w:cs="Arial" w:eastAsia="Arial" w:hAnsi="Arial"/>
                <w:color w:val="1A1A1A"/>
                <w:sz w:val="21"/>
                <w:szCs w:val="21"/>
              </w:rPr>
              <w:t xml:space="preserve">The funding strategy in Section 11 lists Renovate Main Street as providing '$25,000–$75,000.' This is incorrect. Per the official program documentation, the maximum award is $25,000. There is no pathway to $75,000 from this program. The Section 11 funding table must be revised. The Hub's total confirmed grant capacity is reduced by $50,000 from the previously stated range.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Renovate Main Street is a building improvement matching grant program to incentivize private investment in downtown and encourage economic development growth. The program provides financial reimbursement of up to $25,000 for the improvement and rehabilitation of Main Street properties intended as storefronts of retail, restaurant, and entertainment for-profit businesses.</w:t>
            </w:r>
          </w:p>
        </w:tc>
      </w:tr>
    </w:tbl>
    <w:p>
      <w:pPr>
        <w:spacing w:after="80" w:before="80"/>
      </w:pPr>
      <w:r>
        <w:t xml:space="preserve"/>
      </w:r>
    </w:p>
    <w:p>
      <w:pPr>
        <w:spacing w:after="80" w:before="200"/>
      </w:pPr>
      <w:r>
        <w:rPr>
          <w:rFonts w:ascii="Arial" w:cs="Arial" w:eastAsia="Arial" w:hAnsi="Arial"/>
          <w:b/>
          <w:bCs/>
          <w:color w:val="14746F"/>
          <w:sz w:val="24"/>
          <w:szCs w:val="24"/>
        </w:rPr>
        <w:t xml:space="preserve">N.5.1 Eligibility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Requirement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Status</w:t>
            </w:r>
          </w:p>
        </w:tc>
        <w:tc>
          <w:tcPr>
            <w:tcW w:type="dxa" w:w="45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Main Street / downtown corridor location</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targets downtown Las Cruces</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Must verify the specific address is within the DLCP Main Street corridor boundary. Confirm with DLCP directly.</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For-profit business use</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for-profit NM LLC</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Storefront retail, restaurant, or entertainment use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a food hall (restaurant/entertainment)</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 food hall qualifies as restaurant + entertainment use; cultural programming enhances the entertainment framing</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Building improvement and rehabilitation work</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involves $945K+ of interior buildout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 the grant reimburses improvement/rehabilitation of the property, which is the core of the Hub's capital spend</w:t>
            </w:r>
          </w:p>
        </w:tc>
      </w:tr>
      <w:tr>
        <w:tc>
          <w:tcPr>
            <w:tcW w:type="dxa" w:w="2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Matching grant (Hub must contribute private funds)</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is deploying $1.3M+ total — far exceeds $25K match</w:t>
            </w:r>
          </w:p>
        </w:tc>
        <w:tc>
          <w:tcPr>
            <w:tcW w:type="dxa" w:w="45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Hub's capital investment provides more than sufficient private match</w:t>
            </w:r>
          </w:p>
        </w:tc>
      </w:tr>
      <w:tr>
        <w:tc>
          <w:tcPr>
            <w:tcW w:type="dxa" w:w="2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Reimbursement basis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Spend first, then submit for reimbursement</w:t>
            </w:r>
          </w:p>
        </w:tc>
        <w:tc>
          <w:tcPr>
            <w:tcW w:type="dxa" w:w="45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Same mechanics as NMFA — requires cost documentation, architect certifications, contractor invoices</w:t>
            </w:r>
          </w:p>
        </w:tc>
      </w:tr>
    </w:tbl>
    <w:p>
      <w:pPr>
        <w:spacing w:after="80" w:before="80"/>
      </w:pPr>
      <w:r>
        <w:t xml:space="preserve"/>
      </w:r>
    </w:p>
    <w:p>
      <w:pPr>
        <w:spacing w:after="80" w:before="200"/>
      </w:pPr>
      <w:r>
        <w:rPr>
          <w:rFonts w:ascii="Arial" w:cs="Arial" w:eastAsia="Arial" w:hAnsi="Arial"/>
          <w:b/>
          <w:bCs/>
          <w:color w:val="14746F"/>
          <w:sz w:val="24"/>
          <w:szCs w:val="24"/>
        </w:rPr>
        <w:t xml:space="preserve">N.5.2 Application Strategy — What to Document</w:t>
      </w:r>
    </w:p>
    <w:p>
      <w:pPr>
        <w:spacing w:after="80" w:before="60"/>
      </w:pPr>
      <w:r>
        <w:rPr>
          <w:rFonts w:ascii="Arial" w:cs="Arial" w:eastAsia="Arial" w:hAnsi="Arial"/>
          <w:color w:val="1A1A1A"/>
          <w:sz w:val="22"/>
          <w:szCs w:val="22"/>
        </w:rPr>
        <w:t xml:space="preserve">Renovate Main Street applications are assessed primarily on the quality of the improvement documentation. Required materials typically include:</w:t>
      </w:r>
    </w:p>
    <w:p>
      <w:pPr>
        <w:pStyle w:val="ListParagraph"/>
        <w:numPr>
          <w:ilvl w:val="0"/>
          <w:numId w:val="2"/>
        </w:numPr>
        <w:spacing w:after="40" w:before="40"/>
      </w:pPr>
      <w:r>
        <w:rPr>
          <w:rFonts w:ascii="Arial" w:cs="Arial" w:eastAsia="Arial" w:hAnsi="Arial"/>
          <w:b/>
          <w:bCs/>
          <w:color w:val="1B3A5C"/>
          <w:sz w:val="22"/>
          <w:szCs w:val="22"/>
        </w:rPr>
        <w:t xml:space="preserve">Architect-stamped drawings: </w:t>
      </w:r>
      <w:r>
        <w:rPr>
          <w:rFonts w:ascii="Arial" w:cs="Arial" w:eastAsia="Arial" w:hAnsi="Arial"/>
          <w:color w:val="1A1A1A"/>
          <w:sz w:val="22"/>
          <w:szCs w:val="22"/>
        </w:rPr>
        <w:t xml:space="preserve">Showing the before/after scope of leasehold improvements. This documentation is already required for building permits, so it has no incremental cost.</w:t>
      </w:r>
    </w:p>
    <w:p>
      <w:pPr>
        <w:pStyle w:val="ListParagraph"/>
        <w:numPr>
          <w:ilvl w:val="0"/>
          <w:numId w:val="2"/>
        </w:numPr>
        <w:spacing w:after="40" w:before="40"/>
      </w:pPr>
      <w:r>
        <w:rPr>
          <w:rFonts w:ascii="Arial" w:cs="Arial" w:eastAsia="Arial" w:hAnsi="Arial"/>
          <w:b/>
          <w:bCs/>
          <w:color w:val="1B3A5C"/>
          <w:sz w:val="22"/>
          <w:szCs w:val="22"/>
        </w:rPr>
        <w:t xml:space="preserve">Contractor invoices: </w:t>
      </w:r>
      <w:r>
        <w:rPr>
          <w:rFonts w:ascii="Arial" w:cs="Arial" w:eastAsia="Arial" w:hAnsi="Arial"/>
          <w:color w:val="1A1A1A"/>
          <w:sz w:val="22"/>
          <w:szCs w:val="22"/>
        </w:rPr>
        <w:t xml:space="preserve">Paid invoices for eligible improvement work, submitted for reimbursement.</w:t>
      </w:r>
    </w:p>
    <w:p>
      <w:pPr>
        <w:pStyle w:val="ListParagraph"/>
        <w:numPr>
          <w:ilvl w:val="0"/>
          <w:numId w:val="2"/>
        </w:numPr>
        <w:spacing w:after="40" w:before="40"/>
      </w:pPr>
      <w:r>
        <w:rPr>
          <w:rFonts w:ascii="Arial" w:cs="Arial" w:eastAsia="Arial" w:hAnsi="Arial"/>
          <w:b/>
          <w:bCs/>
          <w:color w:val="1B3A5C"/>
          <w:sz w:val="22"/>
          <w:szCs w:val="22"/>
        </w:rPr>
        <w:t xml:space="preserve">Proof of building permit: </w:t>
      </w:r>
      <w:r>
        <w:rPr>
          <w:rFonts w:ascii="Arial" w:cs="Arial" w:eastAsia="Arial" w:hAnsi="Arial"/>
          <w:color w:val="1A1A1A"/>
          <w:sz w:val="22"/>
          <w:szCs w:val="22"/>
        </w:rPr>
        <w:t xml:space="preserve">Confirmation that improvement work is code-compliant.</w:t>
      </w:r>
    </w:p>
    <w:p>
      <w:pPr>
        <w:pStyle w:val="ListParagraph"/>
        <w:numPr>
          <w:ilvl w:val="0"/>
          <w:numId w:val="2"/>
        </w:numPr>
        <w:spacing w:after="40" w:before="40"/>
      </w:pPr>
      <w:r>
        <w:rPr>
          <w:rFonts w:ascii="Arial" w:cs="Arial" w:eastAsia="Arial" w:hAnsi="Arial"/>
          <w:b/>
          <w:bCs/>
          <w:color w:val="1B3A5C"/>
          <w:sz w:val="22"/>
          <w:szCs w:val="22"/>
        </w:rPr>
        <w:t xml:space="preserve">Business registration: </w:t>
      </w:r>
      <w:r>
        <w:rPr>
          <w:rFonts w:ascii="Arial" w:cs="Arial" w:eastAsia="Arial" w:hAnsi="Arial"/>
          <w:color w:val="1A1A1A"/>
          <w:sz w:val="22"/>
          <w:szCs w:val="22"/>
        </w:rPr>
        <w:t xml:space="preserve">Current NM LLC certificate and business registration with the City.</w:t>
      </w:r>
    </w:p>
    <w:p>
      <w:pPr>
        <w:pStyle w:val="ListParagraph"/>
        <w:numPr>
          <w:ilvl w:val="0"/>
          <w:numId w:val="2"/>
        </w:numPr>
        <w:spacing w:after="40" w:before="40"/>
      </w:pPr>
      <w:r>
        <w:rPr>
          <w:rFonts w:ascii="Arial" w:cs="Arial" w:eastAsia="Arial" w:hAnsi="Arial"/>
          <w:b/>
          <w:bCs/>
          <w:color w:val="1B3A5C"/>
          <w:sz w:val="22"/>
          <w:szCs w:val="22"/>
        </w:rPr>
        <w:t xml:space="preserve">Letter of Support from DLCP: </w:t>
      </w:r>
      <w:r>
        <w:rPr>
          <w:rFonts w:ascii="Arial" w:cs="Arial" w:eastAsia="Arial" w:hAnsi="Arial"/>
          <w:color w:val="1A1A1A"/>
          <w:sz w:val="22"/>
          <w:szCs w:val="22"/>
        </w:rPr>
        <w:t xml:space="preserve">A letter from the Downtown Las Cruces Partnership confirming the Hub is within the corridor and aligns with downtown revitalization goals. This is a relationship-building touchpoint — schedule a DLCP meeting in Month 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Apply in Phase 2 — After Architect Plans Are Complete</w:t>
            </w:r>
          </w:p>
          <w:p>
            <w:pPr>
              <w:spacing w:before="40"/>
            </w:pPr>
            <w:r>
              <w:rPr>
                <w:rFonts w:ascii="Arial" w:cs="Arial" w:eastAsia="Arial" w:hAnsi="Arial"/>
                <w:color w:val="1A1A1A"/>
                <w:sz w:val="21"/>
                <w:szCs w:val="21"/>
              </w:rPr>
              <w:t xml:space="preserve">The optimal time to submit the Renovate Main Street application is Phase 2 (Months 4–6), once architect drawings are complete and building permits are filed. This ensures all documentation is available and the application is complete at first submission. Do not rush to apply before the buildout scope is fully documented — an incomplete application will delay reimbursement further.</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N.6 Las Cruces Small Business Safety Improvement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4746F" w:sz="6"/>
              <w:left w:val="thick" w:color="14746F" w:sz="18"/>
              <w:bottom w:val="single" w:color="14746F" w:sz="6"/>
              <w:right w:val="none" w:color="FFFFFF" w:sz="0"/>
            </w:tcBorders>
            <w:shd w:fill="E8F4F2" w:val="clear"/>
            <w:tcMar>
              <w:top w:type="dxa" w:w="100"/>
              <w:left w:type="dxa" w:w="200"/>
              <w:bottom w:type="dxa" w:w="100"/>
              <w:right w:type="dxa" w:w="120"/>
            </w:tcMar>
          </w:tcPr>
          <w:p>
            <w:r>
              <w:rPr>
                <w:rFonts w:ascii="Arial" w:cs="Arial" w:eastAsia="Arial" w:hAnsi="Arial"/>
                <w:b/>
                <w:bCs/>
                <w:color w:val="14746F"/>
                <w:sz w:val="22"/>
                <w:szCs w:val="22"/>
              </w:rPr>
              <w:t xml:space="preserve">Official Program Summary</w:t>
            </w:r>
          </w:p>
          <w:p>
            <w:pPr>
              <w:spacing w:before="40"/>
            </w:pPr>
            <w:r>
              <w:rPr>
                <w:rFonts w:ascii="Arial" w:cs="Arial" w:eastAsia="Arial" w:hAnsi="Arial"/>
                <w:color w:val="1A1A1A"/>
                <w:sz w:val="21"/>
                <w:szCs w:val="21"/>
              </w:rPr>
              <w:t xml:space="preserve">The Las Cruces Small Business Safety Improvement Grant incentivizes businesses and commercial property owners within the El Paseo/South Solano Metropolitan Redevelopment Area (MRA) to invest in and install security measures. Grant funding: up to $5,000 per business/property. Applications opened November 3, 2025. Purchases made before the application date are not eligible. First-come, first-served.</w:t>
            </w:r>
          </w:p>
        </w:tc>
      </w:tr>
    </w:tbl>
    <w:p>
      <w:pPr>
        <w:spacing w:after="80" w:before="80"/>
      </w:pPr>
      <w:r>
        <w:t xml:space="preserve"/>
      </w:r>
    </w:p>
    <w:p>
      <w:pPr>
        <w:spacing w:after="80" w:before="200"/>
      </w:pPr>
      <w:r>
        <w:rPr>
          <w:rFonts w:ascii="Arial" w:cs="Arial" w:eastAsia="Arial" w:hAnsi="Arial"/>
          <w:b/>
          <w:bCs/>
          <w:color w:val="14746F"/>
          <w:sz w:val="24"/>
          <w:szCs w:val="24"/>
        </w:rPr>
        <w:t xml:space="preserve">N.6.1 Eligibility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Requirement</w:t>
            </w:r>
          </w:p>
        </w:tc>
        <w:tc>
          <w:tcPr>
            <w:tcW w:type="dxa" w:w="2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Status</w:t>
            </w:r>
          </w:p>
        </w:tc>
        <w:tc>
          <w:tcPr>
            <w:tcW w:type="dxa" w:w="43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Notes</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Located within El Paseo/South Solano MRA</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Site-dependent — must verify</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The El Paseo/South Solano MRA boundaries are documented in the MRA plan (June 2025). Verify Hub site is within this MRA. West Picacho MRA (Hub's primary target site) may be a separate boundary — confirm.</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40 or fewer full-time employees</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15–22 FTE at stabilization</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Independently owned (non-corporate)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NM LLC, founder-owned</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For-profit business or eligible nonprofit</w:t>
            </w:r>
          </w:p>
        </w:tc>
        <w:tc>
          <w:tcPr>
            <w:tcW w:type="dxa" w:w="2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for-profit NM LLC</w:t>
            </w:r>
          </w:p>
        </w:tc>
        <w:tc>
          <w:tcPr>
            <w:tcW w:type="dxa" w:w="43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w:t>
            </w:r>
          </w:p>
        </w:tc>
      </w:tr>
      <w:tr>
        <w:tc>
          <w:tcPr>
            <w:tcW w:type="dxa" w:w="2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Purchases made after application date</w:t>
            </w:r>
          </w:p>
        </w:tc>
        <w:tc>
          <w:tcPr>
            <w:tcW w:type="dxa" w:w="2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has not yet purchased security equipment</w:t>
            </w:r>
          </w:p>
        </w:tc>
        <w:tc>
          <w:tcPr>
            <w:tcW w:type="dxa" w:w="43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Eligible — all purchases will be made after application</w:t>
            </w:r>
          </w:p>
        </w:tc>
      </w:tr>
    </w:tbl>
    <w:p>
      <w:pPr>
        <w:spacing w:after="80" w:before="80"/>
      </w:pPr>
      <w:r>
        <w:t xml:space="preserve"/>
      </w:r>
    </w:p>
    <w:p>
      <w:pPr>
        <w:spacing w:after="80" w:before="200"/>
      </w:pPr>
      <w:r>
        <w:rPr>
          <w:rFonts w:ascii="Arial" w:cs="Arial" w:eastAsia="Arial" w:hAnsi="Arial"/>
          <w:b/>
          <w:bCs/>
          <w:color w:val="14746F"/>
          <w:sz w:val="24"/>
          <w:szCs w:val="24"/>
        </w:rPr>
        <w:t xml:space="preserve">N.6.2 Eligible Security Upgrades and Estimated Hub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Eligible Upgrade</w:t>
            </w:r>
          </w:p>
        </w:tc>
        <w:tc>
          <w:tcPr>
            <w:tcW w:type="dxa" w:w="2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Hub Need</w:t>
            </w:r>
          </w:p>
        </w:tc>
        <w:tc>
          <w:tcPr>
            <w:tcW w:type="dxa" w:w="18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Estimated Cost</w:t>
            </w:r>
          </w:p>
        </w:tc>
        <w:tc>
          <w:tcPr>
            <w:tcW w:type="dxa" w:w="31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Safety Grant Covers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Security cameras (including doorbell cameras)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8,000 sq ft food hall requires 8–12 cameras covering all stalls, entry, parking, cider bar</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$4,000–$8,000</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Up to $5,000</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Locks and doors</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Commercial-grade locks for 13 stall kitchens + commissary + cider bar storage</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$2,000–$4,000</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Door/window sensors</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Entry sensors for after-hours intrusion detection</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$500–$1,500</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Outdoor lighting</w:t>
            </w:r>
          </w:p>
        </w:tc>
        <w:tc>
          <w:tcPr>
            <w:tcW w:type="dxa" w:w="2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Perimeter and parking area lighting for evening events</w:t>
            </w:r>
          </w:p>
        </w:tc>
        <w:tc>
          <w:tcPr>
            <w:tcW w:type="dxa" w:w="18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$1,500–$3,000</w:t>
            </w:r>
          </w:p>
        </w:tc>
        <w:tc>
          <w:tcPr>
            <w:tcW w:type="dxa" w:w="31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Fencing and fence covering</w:t>
            </w:r>
          </w:p>
        </w:tc>
        <w:tc>
          <w:tcPr>
            <w:tcW w:type="dxa" w:w="2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Outdoor event perimeter or delivery zone security</w:t>
            </w:r>
          </w:p>
        </w:tc>
        <w:tc>
          <w:tcPr>
            <w:tcW w:type="dxa" w:w="18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$1,000–$2,500</w:t>
            </w:r>
          </w:p>
        </w:tc>
        <w:tc>
          <w:tcPr>
            <w:tcW w:type="dxa" w:w="31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Counted toward $5K cap</w:t>
            </w:r>
          </w:p>
        </w:tc>
      </w:tr>
    </w:tbl>
    <w:p>
      <w:pPr>
        <w:spacing w:after="80" w:before="80"/>
      </w:pPr>
      <w:r>
        <w:t xml:space="preserve"/>
      </w:r>
    </w:p>
    <w:p>
      <w:pPr>
        <w:spacing w:after="80" w:before="60"/>
      </w:pPr>
      <w:r>
        <w:rPr>
          <w:rFonts w:ascii="Arial" w:cs="Arial" w:eastAsia="Arial" w:hAnsi="Arial"/>
          <w:color w:val="1A1A1A"/>
          <w:sz w:val="22"/>
          <w:szCs w:val="22"/>
        </w:rPr>
        <w:t xml:space="preserve">The Hub's total security infrastructure need ($9,000–$19,000) exceeds the $5,000 cap. Budget the remaining $4,000–$14,000 from the POS, IT, and Security Systems line in the Uses of Funds (Section F.1).</w:t>
      </w:r>
    </w:p>
    <w:p>
      <w:pPr>
        <w:spacing w:after="80" w:before="80"/>
      </w:pPr>
      <w:r>
        <w:t xml:space="preserve"/>
      </w:r>
    </w:p>
    <w:p>
      <w:pPr>
        <w:spacing w:after="80" w:before="200"/>
      </w:pPr>
      <w:r>
        <w:rPr>
          <w:rFonts w:ascii="Arial" w:cs="Arial" w:eastAsia="Arial" w:hAnsi="Arial"/>
          <w:b/>
          <w:bCs/>
          <w:color w:val="14746F"/>
          <w:sz w:val="24"/>
          <w:szCs w:val="24"/>
        </w:rPr>
        <w:t xml:space="preserve">N.6.3 LCPD Partnership Bonus</w:t>
      </w:r>
    </w:p>
    <w:p>
      <w:pPr>
        <w:spacing w:after="80" w:before="60"/>
      </w:pPr>
      <w:r>
        <w:rPr>
          <w:rFonts w:ascii="Arial" w:cs="Arial" w:eastAsia="Arial" w:hAnsi="Arial"/>
          <w:color w:val="1A1A1A"/>
          <w:sz w:val="22"/>
          <w:szCs w:val="22"/>
        </w:rPr>
        <w:t xml:space="preserve">The Safety Improvement Grant comes with an embedded LCPD partnership benefit that the Hub should actively use:</w:t>
      </w:r>
    </w:p>
    <w:p>
      <w:pPr>
        <w:pStyle w:val="ListParagraph"/>
        <w:numPr>
          <w:ilvl w:val="0"/>
          <w:numId w:val="2"/>
        </w:numPr>
        <w:spacing w:after="40" w:before="40"/>
      </w:pPr>
      <w:r>
        <w:rPr>
          <w:rFonts w:ascii="Arial" w:cs="Arial" w:eastAsia="Arial" w:hAnsi="Arial"/>
          <w:b/>
          <w:bCs/>
          <w:color w:val="1B3A5C"/>
          <w:sz w:val="22"/>
          <w:szCs w:val="22"/>
        </w:rPr>
        <w:t xml:space="preserve">On-site safety evaluations: </w:t>
      </w:r>
      <w:r>
        <w:rPr>
          <w:rFonts w:ascii="Arial" w:cs="Arial" w:eastAsia="Arial" w:hAnsi="Arial"/>
          <w:color w:val="1A1A1A"/>
          <w:sz w:val="22"/>
          <w:szCs w:val="22"/>
        </w:rPr>
        <w:t xml:space="preserve">LCPD's Community Outreach Unit will visit the Hub space and provide a customized security assessment — free intelligence on where to place cameras, doors, and lighting for maximum deterrence.</w:t>
      </w:r>
    </w:p>
    <w:p>
      <w:pPr>
        <w:pStyle w:val="ListParagraph"/>
        <w:numPr>
          <w:ilvl w:val="0"/>
          <w:numId w:val="2"/>
        </w:numPr>
        <w:spacing w:after="40" w:before="40"/>
      </w:pPr>
      <w:r>
        <w:rPr>
          <w:rFonts w:ascii="Arial" w:cs="Arial" w:eastAsia="Arial" w:hAnsi="Arial"/>
          <w:b/>
          <w:bCs/>
          <w:color w:val="1B3A5C"/>
          <w:sz w:val="22"/>
          <w:szCs w:val="22"/>
        </w:rPr>
        <w:t xml:space="preserve">Crime Prevention Through Environmental Design (CPTED): </w:t>
      </w:r>
      <w:r>
        <w:rPr>
          <w:rFonts w:ascii="Arial" w:cs="Arial" w:eastAsia="Arial" w:hAnsi="Arial"/>
          <w:color w:val="1A1A1A"/>
          <w:sz w:val="22"/>
          <w:szCs w:val="22"/>
        </w:rPr>
        <w:t xml:space="preserve">LCPD will advise on physical layout to reduce crime risk. For a food hall with evening events, this is operationally valuable.</w:t>
      </w:r>
    </w:p>
    <w:p>
      <w:pPr>
        <w:pStyle w:val="ListParagraph"/>
        <w:numPr>
          <w:ilvl w:val="0"/>
          <w:numId w:val="2"/>
        </w:numPr>
        <w:spacing w:after="40" w:before="40"/>
      </w:pPr>
      <w:r>
        <w:rPr>
          <w:rFonts w:ascii="Arial" w:cs="Arial" w:eastAsia="Arial" w:hAnsi="Arial"/>
          <w:b/>
          <w:bCs/>
          <w:color w:val="1B3A5C"/>
          <w:sz w:val="22"/>
          <w:szCs w:val="22"/>
        </w:rPr>
        <w:t xml:space="preserve">Neighborhood Watch Initiative: </w:t>
      </w:r>
      <w:r>
        <w:rPr>
          <w:rFonts w:ascii="Arial" w:cs="Arial" w:eastAsia="Arial" w:hAnsi="Arial"/>
          <w:color w:val="1A1A1A"/>
          <w:sz w:val="22"/>
          <w:szCs w:val="22"/>
        </w:rPr>
        <w:t xml:space="preserve">Enrollment positions the Hub as an active community safety participant — strong for DLCP relationship and press narrative around the Grand Opening.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Apply at Phase 2 Start (Month 4) — First Come, First Served</w:t>
            </w:r>
          </w:p>
          <w:p>
            <w:pPr>
              <w:spacing w:before="40"/>
            </w:pPr>
            <w:r>
              <w:rPr>
                <w:rFonts w:ascii="Arial" w:cs="Arial" w:eastAsia="Arial" w:hAnsi="Arial"/>
                <w:color w:val="1A1A1A"/>
                <w:sz w:val="21"/>
                <w:szCs w:val="21"/>
              </w:rPr>
              <w:t xml:space="preserve">The Safety Improvement Grant is first-come, first-served with no announced close date. Apply as soon as the Hub's El Paseo/South Solano MRA location is confirmed. The $5,000 is small but the LCPD relationship and community safety positioning are worth as much as the cash.</w:t>
            </w:r>
          </w:p>
        </w:tc>
      </w:tr>
    </w:tbl>
    <w:p>
      <w:pPr>
        <w:spacing w:after="80" w:before="80"/>
      </w:pPr>
      <w:r>
        <w:t xml:space="preserve"/>
      </w:r>
    </w:p>
    <w:p>
      <w:r>
        <w:br w:type="page"/>
      </w:r>
    </w:p>
    <w:p>
      <w:pPr>
        <w:pStyle w:val="Heading2"/>
        <w:spacing w:after="100" w:before="320"/>
      </w:pPr>
      <w:r>
        <w:rPr>
          <w:rFonts w:ascii="Arial" w:cs="Arial" w:eastAsia="Arial" w:hAnsi="Arial"/>
          <w:b/>
          <w:bCs/>
          <w:color w:val="2563A8"/>
          <w:sz w:val="28"/>
          <w:szCs w:val="28"/>
        </w:rPr>
        <w:t xml:space="preserve">N.7 Revised Grant Funding Stack — Corrected Totals</w:t>
      </w:r>
    </w:p>
    <w:p>
      <w:pPr>
        <w:spacing w:after="80" w:before="60"/>
      </w:pPr>
      <w:r>
        <w:rPr>
          <w:rFonts w:ascii="Arial" w:cs="Arial" w:eastAsia="Arial" w:hAnsi="Arial"/>
          <w:color w:val="1A1A1A"/>
          <w:sz w:val="22"/>
          <w:szCs w:val="22"/>
        </w:rPr>
        <w:t xml:space="preserve">After the program-by-program analysis above, including the Renovate Main Street correction and the addition of WIOA, the Hub's grant funding capacity is restated:</w:t>
      </w:r>
    </w:p>
    <w:p>
      <w:pPr>
        <w:spacing w:after="80" w:before="8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700"/>
        <w:gridCol w:w="1700"/>
        <w:gridCol w:w="2460"/>
      </w:tblGrid>
      <w:tr>
        <w:tc>
          <w:tcPr>
            <w:tcW w:type="dxa" w:w="24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Program</w:t>
            </w:r>
          </w:p>
        </w:tc>
        <w:tc>
          <w:tcPr>
            <w:tcW w:type="dxa" w:w="16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 Plan Amount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Corrected Amount</w:t>
            </w:r>
          </w:p>
        </w:tc>
        <w:tc>
          <w:tcPr>
            <w:tcW w:type="dxa" w:w="17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Change</w:t>
            </w:r>
          </w:p>
        </w:tc>
        <w:tc>
          <w:tcPr>
            <w:tcW w:type="dxa" w:w="24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Basis</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NMFA (New Mexico Finance Authority; nmfa.net)</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$100,000–$200,000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$100,000–$200,000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change</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Conditional on WIOA approval and City sponsorship. Reimbursement basis; Year 1–2 draw-down.</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HFFF (Historic and Future Funds of the Farm)</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$75,000–$125,000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$75,000–$125,000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change</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Rural economic development grant; unchanged.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EPE Economic Development Fund (via MVEDA)</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$65,000–$80,000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$65,000–$80,000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change</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Regional utility-sponsored grant; $100K precedent confirmed.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 / EmployNM (NM Workforce Innovationcentive Program)</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 plan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$135,000–$185,000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 added</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50–75% wage reimbursement for 6 months across 15 new jobs. Administered by NMEDD.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 (DLCP)</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$25,000–$75,000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CORRECTED — reduced by $50,000</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Official program cap is $25,000. Prior plan overstated.</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Small Business Safety Improvement Grant</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 plan</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 added</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El Paseo/South Solano MRA; first-come, first-served; security equipment only.</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USDA Resilient Food Systems Infrastructure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$50,000–$100,000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$80,000</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material change</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Conditional on federal award cycle; modeled as upside.</w:t>
            </w:r>
          </w:p>
        </w:tc>
      </w:tr>
      <w:tr>
        <w:tc>
          <w:tcPr>
            <w:tcW w:type="dxa" w:w="24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GRIP</w:t>
            </w:r>
          </w:p>
        </w:tc>
        <w:tc>
          <w:tcPr>
            <w:tcW w:type="dxa" w:w="16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$0</w:t>
            </w:r>
          </w:p>
        </w:tc>
        <w:tc>
          <w:tcPr>
            <w:tcW w:type="dxa" w:w="17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applicable</w:t>
            </w:r>
          </w:p>
        </w:tc>
        <w:tc>
          <w:tcPr>
            <w:tcW w:type="dxa" w:w="24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Hub does not meet $5M sales threshold.</w:t>
            </w:r>
          </w:p>
        </w:tc>
      </w:tr>
      <w:tr>
        <w:tc>
          <w:tcPr>
            <w:tcW w:type="dxa" w:w="24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Opportunity Zone</w:t>
            </w:r>
          </w:p>
        </w:tc>
        <w:tc>
          <w:tcPr>
            <w:tcW w:type="dxa" w:w="16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 plan</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$0 (investor tool)</w:t>
            </w:r>
          </w:p>
        </w:tc>
        <w:tc>
          <w:tcPr>
            <w:tcW w:type="dxa" w:w="17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NEW — noted</w:t>
            </w:r>
          </w:p>
        </w:tc>
        <w:tc>
          <w:tcPr>
            <w:tcW w:type="dxa" w:w="24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a grant; an investor tax incentive. Managed as investor outreach, not grant application.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
            </w:r>
          </w:p>
        </w:tc>
        <w:tc>
          <w:tcPr>
            <w:tcW w:type="dxa" w:w="26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 Range</w:t>
            </w:r>
          </w:p>
        </w:tc>
        <w:tc>
          <w:tcPr>
            <w:tcW w:type="dxa" w:w="268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Corrected Range</w:t>
            </w:r>
          </w:p>
        </w:tc>
      </w:tr>
      <w:tr>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bCs/>
                <w:i w:val="false"/>
                <w:iCs w:val="false"/>
                <w:color w:val="1A1A1A"/>
                <w:sz w:val="19"/>
                <w:szCs w:val="19"/>
              </w:rPr>
              <w:t xml:space="preserve">TOTAL CONFIRMED + HIGH-PROBABILITY GRANTS</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bCs/>
                <w:i w:val="false"/>
                <w:iCs w:val="false"/>
                <w:color w:val="1A1A1A"/>
                <w:sz w:val="19"/>
                <w:szCs w:val="19"/>
              </w:rPr>
              <w:t xml:space="preserve">$290,000–$480,000</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bCs/>
                <w:i w:val="false"/>
                <w:iCs w:val="false"/>
                <w:color w:val="1A1A1A"/>
                <w:sz w:val="19"/>
                <w:szCs w:val="19"/>
              </w:rPr>
              <w:t xml:space="preserve">$405,000–$595,000</w:t>
            </w:r>
          </w:p>
        </w:tc>
      </w:tr>
      <w:tr>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(excluding WIOA and Safety Grant)</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$290,000–$480,000</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$205,000–$410,000</w:t>
            </w:r>
          </w:p>
        </w:tc>
      </w:tr>
      <w:tr>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WIOA/EmployNM addition (per NM EDD guidance)</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included</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$135,000–$185,000</w:t>
            </w:r>
          </w:p>
        </w:tc>
      </w:tr>
      <w:tr>
        <w:tc>
          <w:tcPr>
            <w:tcW w:type="dxa" w:w="4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Safety Grant addition (new)</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Not included</w:t>
            </w:r>
          </w:p>
        </w:tc>
        <w:tc>
          <w:tcPr>
            <w:tcW w:type="dxa" w:w="268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$5,000</w:t>
            </w:r>
          </w:p>
        </w:tc>
      </w:tr>
      <w:tr>
        <w:tc>
          <w:tcPr>
            <w:tcW w:type="dxa" w:w="4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 correction</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$25,000–$75,000</w:t>
            </w:r>
          </w:p>
        </w:tc>
        <w:tc>
          <w:tcPr>
            <w:tcW w:type="dxa" w:w="268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$25,000</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2A" w:sz="6"/>
              <w:left w:val="thick" w:color="1A5C2A" w:sz="18"/>
              <w:bottom w:val="single" w:color="1A5C2A" w:sz="6"/>
              <w:right w:val="none" w:color="FFFFFF" w:sz="0"/>
            </w:tcBorders>
            <w:shd w:fill="E8F5E9" w:val="clear"/>
            <w:tcMar>
              <w:top w:type="dxa" w:w="100"/>
              <w:left w:type="dxa" w:w="200"/>
              <w:bottom w:type="dxa" w:w="100"/>
              <w:right w:type="dxa" w:w="120"/>
            </w:tcMar>
          </w:tcPr>
          <w:p>
            <w:r>
              <w:rPr>
                <w:rFonts w:ascii="Arial" w:cs="Arial" w:eastAsia="Arial" w:hAnsi="Arial"/>
                <w:b/>
                <w:bCs/>
                <w:color w:val="1A5C2A"/>
                <w:sz w:val="22"/>
                <w:szCs w:val="22"/>
              </w:rPr>
              <w:t xml:space="preserve">Net Effect of This Analysis</w:t>
            </w:r>
          </w:p>
          <w:p>
            <w:pPr>
              <w:spacing w:before="40"/>
            </w:pPr>
            <w:r>
              <w:rPr>
                <w:rFonts w:ascii="Arial" w:cs="Arial" w:eastAsia="Arial" w:hAnsi="Arial"/>
                <w:color w:val="1A1A1A"/>
                <w:sz w:val="21"/>
                <w:szCs w:val="21"/>
              </w:rPr>
              <w:t xml:space="preserve">The WIOA addition ($135K–$185K) more than offsets the Renovate Main Street correction (-$50K). The Hub's corrected total grant funding capacity is higher than the prior plan estimate — but it is now accurately sourced from official program language rather than estimates. The corrected range should replace the prior funding table in Section 11. NMFA and WIOA are the two programs requiring the most immediate attention because they are the two largest, most structurally important, and most time-sensitive.</w:t>
            </w:r>
          </w:p>
        </w:tc>
      </w:tr>
    </w:tbl>
    <w:p>
      <w:pPr>
        <w:spacing w:after="80" w:before="80"/>
      </w:pPr>
      <w:r>
        <w:t xml:space="preserve"/>
      </w:r>
    </w:p>
    <w:p>
      <w:pPr>
        <w:pStyle w:val="Heading2"/>
        <w:spacing w:after="100" w:before="320"/>
      </w:pPr>
      <w:r>
        <w:rPr>
          <w:rFonts w:ascii="Arial" w:cs="Arial" w:eastAsia="Arial" w:hAnsi="Arial"/>
          <w:b/>
          <w:bCs/>
          <w:color w:val="2563A8"/>
          <w:sz w:val="28"/>
          <w:szCs w:val="28"/>
        </w:rPr>
        <w:t xml:space="preserve">N.8 Prioritized Application Action Plan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1500"/>
        <w:gridCol w:w="2260"/>
      </w:tblGrid>
      <w:tr>
        <w:tc>
          <w:tcPr>
            <w:tcW w:type="dxa" w:w="10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Priority</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Program</w:t>
            </w:r>
          </w:p>
        </w:tc>
        <w:tc>
          <w:tcPr>
            <w:tcW w:type="dxa" w:w="32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Action</w:t>
            </w:r>
          </w:p>
        </w:tc>
        <w:tc>
          <w:tcPr>
            <w:tcW w:type="dxa" w:w="150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Timing</w:t>
            </w:r>
          </w:p>
        </w:tc>
        <w:tc>
          <w:tcPr>
            <w:tcW w:type="dxa" w:w="2260"/>
            <w:tcBorders>
              <w:top w:val="single" w:color="B0C8E8" w:sz="1"/>
              <w:left w:val="single" w:color="B0C8E8" w:sz="1"/>
              <w:bottom w:val="single" w:color="B0C8E8" w:sz="1"/>
              <w:right w:val="single" w:color="B0C8E8" w:sz="1"/>
            </w:tcBorders>
            <w:shd w:fill="1B3A5C" w:val="clear"/>
            <w:tcMar>
              <w:top w:type="dxa" w:w="90"/>
              <w:left w:type="dxa" w:w="130"/>
              <w:bottom w:type="dxa" w:w="90"/>
              <w:right w:type="dxa" w:w="130"/>
            </w:tcMar>
          </w:tcPr>
          <w:p>
            <w:r>
              <w:rPr>
                <w:rFonts w:ascii="Arial" w:cs="Arial" w:eastAsia="Arial" w:hAnsi="Arial"/>
                <w:b/>
                <w:bCs/>
                <w:color w:val="FFFFFF"/>
                <w:sz w:val="19"/>
                <w:szCs w:val="19"/>
              </w:rPr>
              <w:t xml:space="preserve">Lead Contact / Resource</w:t>
            </w:r>
          </w:p>
        </w:tc>
      </w:tr>
      <w:tr>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1 — Immediate</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WIOA (EmployNM)</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Contact NMEDD Economic Development Division directly to confirm Hub qualifies as expanding business; obtain application materials; build job creation table with wage documentation</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1</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 Economic Development Dept. — nmedd.com; (505) 827-0300</w:t>
            </w:r>
          </w:p>
        </w:tc>
      </w:tr>
      <w:tr>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2 — Immediate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NMFA</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Schedule intro meeting with City of Las Cruces Economic Development (575-541-2425) to confirm City will sponsor Hub's NMFA application; bring WIOA pre-approval as evidence of Economic Base Employer status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1</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economicdev@las-cruces.org; 575-541-2425</w:t>
            </w:r>
          </w:p>
        </w:tc>
      </w:tr>
      <w:tr>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3 — Concurrent</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Opportunity Zone</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Confirm Hub site's OZ tract status with City Economic Development and NMEDD; if confirmed, add OZ Investment section to Supplement M (Investor Tear Sheet) and begin OZ investor outreach</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1–2</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 Economic Development; NMEDD OZ office</w:t>
            </w:r>
          </w:p>
        </w:tc>
      </w:tr>
      <w:tr>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4 — Phase 2</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Renovate Main Street</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Build relationship with DLCP Executive Director in Month 1; submit grant application in Phase 2 with architect drawings, building permit, and contractor invoices</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4–6 (after arch plans complete)</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Downtown Las Cruces Partnership; downtownlascruces.org</w:t>
            </w:r>
          </w:p>
        </w:tc>
      </w:tr>
      <w:tr>
        <w:tc>
          <w:tcPr>
            <w:tcW w:type="dxa" w:w="10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5 — Phase 2</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Safety Improvement Grant</w:t>
            </w:r>
          </w:p>
        </w:tc>
        <w:tc>
          <w:tcPr>
            <w:tcW w:type="dxa" w:w="32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Verify El Paseo/South Solano MRA boundary includes Hub site; request LCPD on-site safety evaluation; submit application with security camera and lighting specifications</w:t>
            </w:r>
          </w:p>
        </w:tc>
        <w:tc>
          <w:tcPr>
            <w:tcW w:type="dxa" w:w="150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Month 4–5 (first-come, first-served — do not delay)</w:t>
            </w:r>
          </w:p>
        </w:tc>
        <w:tc>
          <w:tcPr>
            <w:tcW w:type="dxa" w:w="2260"/>
            <w:tcBorders>
              <w:top w:val="single" w:color="B0C8E8" w:sz="1"/>
              <w:left w:val="single" w:color="B0C8E8" w:sz="1"/>
              <w:bottom w:val="single" w:color="B0C8E8" w:sz="1"/>
              <w:right w:val="single" w:color="B0C8E8" w:sz="1"/>
            </w:tcBorders>
            <w:shd w:fill="FFFFFF"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City of Las Cruces / LCPD Community Outreach Unit</w:t>
            </w:r>
          </w:p>
        </w:tc>
      </w:tr>
      <w:tr>
        <w:tc>
          <w:tcPr>
            <w:tcW w:type="dxa" w:w="10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6 — Do not pursue</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GRIP</w:t>
            </w:r>
          </w:p>
        </w:tc>
        <w:tc>
          <w:tcPr>
            <w:tcW w:type="dxa" w:w="32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No action — Hub does not meet $5M sales threshold. Document this decision in grant strategy log.</w:t>
            </w:r>
          </w:p>
        </w:tc>
        <w:tc>
          <w:tcPr>
            <w:tcW w:type="dxa" w:w="150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N/A</w:t>
            </w:r>
          </w:p>
        </w:tc>
        <w:tc>
          <w:tcPr>
            <w:tcW w:type="dxa" w:w="2260"/>
            <w:tcBorders>
              <w:top w:val="single" w:color="B0C8E8" w:sz="1"/>
              <w:left w:val="single" w:color="B0C8E8" w:sz="1"/>
              <w:bottom w:val="single" w:color="B0C8E8" w:sz="1"/>
              <w:right w:val="single" w:color="B0C8E8" w:sz="1"/>
            </w:tcBorders>
            <w:shd w:fill="EEF4FB" w:val="clear"/>
            <w:tcMar>
              <w:top w:type="dxa" w:w="80"/>
              <w:left w:type="dxa" w:w="130"/>
              <w:bottom w:type="dxa" w:w="80"/>
              <w:right w:type="dxa" w:w="130"/>
            </w:tcMar>
          </w:tcPr>
          <w:p>
            <w:r>
              <w:rPr>
                <w:rFonts w:ascii="Arial" w:cs="Arial" w:eastAsia="Arial" w:hAnsi="Arial"/>
                <w:b w:val="false"/>
                <w:bCs w:val="false"/>
                <w:i w:val="false"/>
                <w:iCs w:val="false"/>
                <w:color w:val="1A1A1A"/>
                <w:sz w:val="19"/>
                <w:szCs w:val="19"/>
              </w:rPr>
              <w:t xml:space="preserve">N/A — excluded from strategy</w:t>
            </w:r>
          </w:p>
        </w:tc>
      </w:tr>
    </w:tbl>
    <w:p>
      <w:pPr>
        <w:spacing w:after="80" w:before="80"/>
      </w:pPr>
      <w:r>
        <w:t xml:space="preserve"/>
      </w:r>
    </w:p>
    <w:p>
      <w:pPr>
        <w:spacing w:after="80" w:before="60"/>
      </w:pPr>
      <w:r>
        <w:rPr>
          <w:rFonts w:ascii="Arial" w:cs="Arial" w:eastAsia="Arial" w:hAnsi="Arial"/>
          <w:i/>
          <w:iCs/>
          <w:color w:val="555555"/>
          <w:sz w:val="20"/>
          <w:szCs w:val="20"/>
        </w:rPr>
        <w:t xml:space="preserve">Sources: City of Las Cruces Local Economic Development Act (NMFA) official program documentation; City of Las Cruces GRIP program description; NM Economic Development Department Job Training Incentive Program (WIOA/EmployNM); City of Las Cruces Opportunity Zone program description (lascruces.gov/business/business-incentives); Downtown Las Cruces Partnership Renovate Main Street program; City of Las Cruces Small Business Safety Improvement Grant (El Paseo/South Solano MRA, opened November 3, 2025); NMFA statutory reference: 5-10-1 to 5-10-13 NMSA 1978.</w:t>
      </w:r>
    </w:p>
    <w:p>
      <w:pPr>
        <w:pageBreakBefore/>
        <w:spacing w:before="0" w:after="0"/>
      </w:pPr>
      <w:r>
        <w:rPr>
          <w:b/>
          <w:sz w:val="28"/>
          <w:szCs w:val="28"/>
          <w:color w:val="8B3A2E"/>
        </w:rPr>
        <w:t>Supplement Q: Regional Tourism Context — Organ Mountains–Desert Peaks National Monument and Las Cruces Visitor Economy</w:t>
      </w:r>
    </w:p>
    <w:p>
      <w:pPr>
        <w:spacing w:before="120" w:after="80"/>
      </w:pPr>
      <w:r>
        <w:rPr>
          <w:b/>
          <w:sz w:val="24"/>
          <w:szCs w:val="24"/>
          <w:color w:val="1B3A5C"/>
        </w:rPr>
        <w:t>Q.1 Purpose of This Supplement</w:t>
      </w:r>
    </w:p>
    <w:p>
      <w:pPr>
        <w:spacing w:before="60" w:after="80"/>
      </w:pPr>
      <w:r>
        <w:rPr>
          <w:sz w:val="22"/>
          <w:szCs w:val="22"/>
        </w:rPr>
        <w:t xml:space="preserve">This supplement documents the regional tourism context that supports the Hub’s visitor demand assumptions. It draws from two primary sources: (1) the Organ Mountains–Desert Peaks National Monument Economic Impact Report (BBC Research &amp; Consulting, August 2023), prepared for the Las Cruces Green Chamber of Commerce using IMPLAN regional input-output modeling; and (2) the BLM Las Cruces District Office Annual Manager’s Report for FY2024. Together, these documents establish that the Las Cruces gateway economy already receives substantial visitor traffic that generates meaningful food-and-beverage demand — and that the market’s existing programming infrastructure successfully converts visitor attention into downtown commercial activity.</w:t>
      </w:r>
    </w:p>
    <w:p>
      <w:pPr>
        <w:spacing w:before="120" w:after="80"/>
      </w:pPr>
      <w:r>
        <w:rPr>
          <w:b/>
          <w:sz w:val="24"/>
          <w:szCs w:val="24"/>
          <w:color w:val="1B3A5C"/>
        </w:rPr>
        <w:t>Q.2 OMDPNM Economic Impact — Key Figures (2022)</w:t>
      </w:r>
    </w:p>
    <w:p>
      <w:pPr>
        <w:spacing w:before="60" w:after="80"/>
      </w:pPr>
      <w:r>
        <w:rPr>
          <w:sz w:val="22"/>
          <w:szCs w:val="22"/>
        </w:rPr>
        <w:t xml:space="preserve">The following figures are drawn from BBC Research &amp; Consulting (2023), “A Decade of Opportunity: How the Designation of Organ Mountains–Desert Peaks National Monument is Boosting Southern New Mexico’s Economy,” using IMPLAN regional input-output modeling for Doña Ana and Luna Counties:</w:t>
      </w:r>
    </w:p>
    <w:p>
      <w:pPr>
        <w:spacing w:before="40" w:after="40"/>
        <w:numPr>
          <w:ilvl w:val="0"/>
          <w:numId w:val="1"/>
        </w:numPr>
      </w:pPr>
      <w:r>
        <w:rPr>
          <w:sz w:val="22"/>
          <w:szCs w:val="22"/>
        </w:rPr>
        <w:t>Total annual economic impact (2022): $35.0 million, including direct and secondary effects</w:t>
      </w:r>
    </w:p>
    <w:p>
      <w:pPr>
        <w:spacing w:before="40" w:after="40"/>
        <w:numPr>
          <w:ilvl w:val="0"/>
          <w:numId w:val="1"/>
        </w:numPr>
      </w:pPr>
      <w:r>
        <w:rPr>
          <w:sz w:val="22"/>
          <w:szCs w:val="22"/>
        </w:rPr>
        <w:t>Total non-local visitor spending (2022): $29.9 million within 50 miles of the Monument</w:t>
      </w:r>
    </w:p>
    <w:p>
      <w:pPr>
        <w:spacing w:before="40" w:after="40"/>
        <w:numPr>
          <w:ilvl w:val="0"/>
          <w:numId w:val="1"/>
        </w:numPr>
      </w:pPr>
      <w:r>
        <w:rPr>
          <w:sz w:val="22"/>
          <w:szCs w:val="22"/>
        </w:rPr>
        <w:t>Restaurant spending by non-local visitors (2022): $6.2 million (calculated from Figure 8 spending category breakdown: day visitors $257,589; overnight non-facility $441,606; overnight commercial $2,582,440; overnight non-participating $2,930,621)</w:t>
      </w:r>
    </w:p>
    <w:p>
      <w:pPr>
        <w:spacing w:before="40" w:after="40"/>
        <w:numPr>
          <w:ilvl w:val="0"/>
          <w:numId w:val="1"/>
        </w:numPr>
      </w:pPr>
      <w:r>
        <w:rPr>
          <w:sz w:val="22"/>
          <w:szCs w:val="22"/>
        </w:rPr>
        <w:t>Jobs supported in Doña Ana and Luna Counties (2022): 305</w:t>
      </w:r>
    </w:p>
    <w:p>
      <w:pPr>
        <w:spacing w:before="40" w:after="40"/>
        <w:numPr>
          <w:ilvl w:val="0"/>
          <w:numId w:val="1"/>
        </w:numPr>
      </w:pPr>
      <w:r>
        <w:rPr>
          <w:sz w:val="22"/>
          <w:szCs w:val="22"/>
        </w:rPr>
        <w:t>Tax revenues generated (2022): $1.9 million for local, county, and state governments</w:t>
      </w:r>
    </w:p>
    <w:p>
      <w:pPr>
        <w:spacing w:before="40" w:after="40"/>
        <w:numPr>
          <w:ilvl w:val="0"/>
          <w:numId w:val="1"/>
        </w:numPr>
      </w:pPr>
      <w:r>
        <w:rPr>
          <w:sz w:val="22"/>
          <w:szCs w:val="22"/>
        </w:rPr>
        <w:t>Total cumulative economic impact since designation (2014–2022): $234 million</w:t>
      </w:r>
    </w:p>
    <w:p>
      <w:pPr>
        <w:spacing w:before="40" w:after="40"/>
        <w:numPr>
          <w:ilvl w:val="0"/>
          <w:numId w:val="1"/>
        </w:numPr>
      </w:pPr>
      <w:r>
        <w:rPr>
          <w:sz w:val="22"/>
          <w:szCs w:val="22"/>
        </w:rPr>
        <w:t>Annual visitation trend: 183,900 (2012, pre-designation) → 612,781 (2022) → 613,645 (FY2024, BLM) — more than tripling and holding steady, exceeding original predictions by 51%</w:t>
      </w:r>
    </w:p>
    <w:p>
      <w:pPr>
        <w:spacing w:before="40" w:after="80"/>
        <w:numPr>
          <w:ilvl w:val="0"/>
          <w:numId w:val="1"/>
        </w:numPr>
      </w:pPr>
      <w:r>
        <w:rPr>
          <w:sz w:val="22"/>
          <w:szCs w:val="22"/>
        </w:rPr>
        <w:t>73% of non-local visitors cited OMDPNM as the primary reason for their visit to the Las Cruces area</w:t>
      </w:r>
    </w:p>
    <w:p>
      <w:pPr>
        <w:spacing w:before="120" w:after="80"/>
      </w:pPr>
      <w:r>
        <w:rPr>
          <w:b/>
          <w:sz w:val="24"/>
          <w:szCs w:val="24"/>
          <w:color w:val="1B3A5C"/>
        </w:rPr>
        <w:t>Q.3 Hub Implications</w:t>
      </w:r>
    </w:p>
    <w:p>
      <w:pPr>
        <w:spacing w:before="60" w:after="80"/>
      </w:pPr>
      <w:r>
        <w:rPr>
          <w:sz w:val="22"/>
          <w:szCs w:val="22"/>
        </w:rPr>
        <w:t xml:space="preserve">The OMDPNM data establishes three facts directly relevant to the Hub’s demand case:</w:t>
      </w:r>
    </w:p>
    <w:p>
      <w:pPr>
        <w:spacing w:before="40" w:after="40"/>
        <w:numPr>
          <w:ilvl w:val="0"/>
          <w:numId w:val="1"/>
        </w:numPr>
      </w:pPr>
      <w:r>
        <w:rPr>
          <w:sz w:val="22"/>
          <w:szCs w:val="22"/>
        </w:rPr>
        <w:t xml:space="preserve">Visitor restaurant spending is already $6.2 million annually from monument visitors alone, before accounting for the 2.5 million total out-of-market visitors documented by Placer. This is not speculative demand — it is documented, recurring restaurant revenue from people already in the Las Cruces market who have no dedicated destination dining venue to visit.</w:t>
      </w:r>
    </w:p>
    <w:p>
      <w:pPr>
        <w:spacing w:before="40" w:after="40"/>
        <w:numPr>
          <w:ilvl w:val="0"/>
          <w:numId w:val="1"/>
        </w:numPr>
      </w:pPr>
      <w:r>
        <w:rPr>
          <w:sz w:val="22"/>
          <w:szCs w:val="22"/>
        </w:rPr>
        <w:t xml:space="preserve">Las Cruces responds to programmed experiences. The BLM FY2024 Manager’s Report documents 19 guided hikes, an archaeological fair, a 10th-anniversary celebration with 948 attendees, a girls’ outdoor camp, and social media reach of over half a million people. Visit Las Cruces has built “Monuments to Main Street” to channel this engagement into local business activity. The Hub’s weekly events, monthly cultural festivals, and quarterly signature events are the commercial counterpart of this proven community engagement model.</w:t>
      </w:r>
    </w:p>
    <w:p>
      <w:pPr>
        <w:spacing w:before="40" w:after="80"/>
        <w:numPr>
          <w:ilvl w:val="0"/>
          <w:numId w:val="1"/>
        </w:numPr>
      </w:pPr>
      <w:r>
        <w:rPr>
          <w:sz w:val="22"/>
          <w:szCs w:val="22"/>
        </w:rPr>
        <w:t xml:space="preserve">The economic multiplier is real. OMDPNM’s $29.9 million in direct non-local visitor spending generated $35.0 million in total economic impact — a 1.17x multiplier. The Hub operates at the direct-spending layer of this same economy. Every dollar captured at the Hub from monument visitors, I-10 travelers, or regional day-trippers represents new money to the Las Cruces economy, not a reallocation from an existing restaurant.</w:t>
      </w:r>
    </w:p>
    <w:p>
      <w:pPr>
        <w:spacing w:before="120" w:after="80"/>
      </w:pPr>
      <w:r>
        <w:rPr>
          <w:b/>
          <w:sz w:val="24"/>
          <w:szCs w:val="24"/>
          <w:color w:val="1B3A5C"/>
        </w:rPr>
        <w:t>Q.4 Marketing Partnership Opportunity</w:t>
      </w:r>
    </w:p>
    <w:p>
      <w:pPr>
        <w:spacing w:before="60" w:after="80"/>
      </w:pPr>
      <w:r>
        <w:rPr>
          <w:sz w:val="22"/>
          <w:szCs w:val="22"/>
        </w:rPr>
        <w:t xml:space="preserve">The Hub should pursue a formal co-marketing relationship with Visit Las Cruces’ Monuments to Main Street (M2M) program, which already routes monument visitors into downtown businesses. Tactical actions: (1) apply for inclusion in the M2M business directory before Grand Opening; (2) propose a “Trails to Tables” promotion that pairs monument hiking events with Hub dining reservations; (3) schedule Hub cultural events during peak monument visitation periods (May anniversary, holiday weekend hikes); (4) co-brand the Hub cider bar’s NM craft cider program with the local outdoor identity — “Hike the monument, drink the cider.”</w:t>
      </w:r>
    </w:p>
    <w:p>
      <w:r>
        <w:br w:type="page"/>
      </w:r>
    </w:p>
    <w:p>
      <w:pPr>
        <w:pStyle w:val="Heading2"/>
      </w:pPr>
      <w:r>
        <w:t xml:space="preserve">5.5 Gift Shop and Retail Merchandising</w:t>
      </w:r>
    </w:p>
    <w:bookmarkStart w:id="44" w:name="concept-and-strategic-purpose"/>
    <w:p>
      <w:pPr>
        <w:pStyle w:val="Heading3"/>
      </w:pPr>
      <w:r>
        <w:t xml:space="preserve">Concept and Strategic Purpose</w:t>
      </w:r>
    </w:p>
    <w:p>
      <w:pPr>
        <w:pStyle w:val="FirstParagraph"/>
      </w:pPr>
      <w:r>
        <w:t>The Hub will include a dedicated gift shop and retail merchandising area positioned near the main exit or along the primary circulation path. Rather than a generic souvenir space, it functions as a curated retail extension of the Hub’s culinary identity — allowing guests to take home signature flavors, branded products, local pantry goods, and meal kits inspired by the vendors inside. It is treated as a formal ancillary profit center, not a side amenity.</w:t>
      </w:r>
    </w:p>
    <w:p>
      <w:pPr>
        <w:pStyle w:val="BodyText"/>
      </w:pPr>
      <w:r>
        <w:t>The retail program supports the Hub's business model in four concrete ways: it diversifies revenue alongside stall license fees, commissary income, beverage sales, and event programming; it deepens guest engagement by allowing customers to continue interacting with Hub brands at home; it strengthens destination appeal for tourists and regional visitors seeking New Mexico food products and locally rooted culinary gifts; and it creates a legally managed retail incubator shelf for vendor-tested packaged products under the vendor license agreement.</w:t>
      </w:r>
    </w:p>
    <w:bookmarkEnd w:id="44"/>
    <w:bookmarkStart w:id="45" w:name="retail-product-mix-five-categories"/>
    <w:p>
      <w:pPr>
        <w:pStyle w:val="Heading3"/>
      </w:pPr>
      <w:r>
        <w:t xml:space="preserve">Retail Product Mix — Five Categories</w:t>
      </w:r>
    </w:p>
    <w:p>
      <w:pPr>
        <w:pStyle w:val="FirstParagraph"/>
      </w:pPr>
      <w:r>
        <w:rPr>
          <w:b/>
          <w:bCs/>
        </w:rPr>
        <w:t xml:space="preserve">1. Vendor-Branded Experience Kits</w:t>
      </w:r>
    </w:p>
    <w:p>
      <w:pPr>
        <w:pStyle w:val="BodyText"/>
      </w:pPr>
      <w:r>
        <w:t>The signature retail category: branded kits tied to the Hub’s core restaurant concepts that recreate a vendor’s signature flavor profile at home. Each kit includes a marinade pouch, sauce, seasoning blend, recipe card, and one or two supporting pantry items. These kits give the Hub a distinct retail identity, create strong gifting and repeat-purchase opportunities, and extend brand loyalty beyond the dining visit. Examples include a Hub Signature wings kit, a Southern BBQ dry rub set, a green chile seasoning kit, and a NM cider pairing box.</w:t>
      </w:r>
    </w:p>
    <w:p>
      <w:pPr>
        <w:pStyle w:val="BodyText"/>
      </w:pPr>
      <w:r>
        <w:rPr>
          <w:b/>
          <w:bCs/>
        </w:rPr>
        <w:t xml:space="preserve">2. Vendor Washout and Graduate Alumni Products</w:t>
      </w:r>
    </w:p>
    <w:p>
      <w:pPr>
        <w:pStyle w:val="BodyText"/>
      </w:pPr>
      <w:r>
        <w:t>The gift shop serves a dual incubator function. For vendors who exit the incubator before graduation, the shop provides a structured outlet for remaining branded or shelf-stable inventory, recovering value that would otherwise be lost. For successful graduates who move into independent restaurants, the shop becomes a permanent “Hub Alumni” showcase — graduates can continue selling packaged sauces, spice blends, baking mixes, and signature pantry items under a dedicated alumni designation. This reinforces the incubator’s credibility, keeps successful brands visible in the ecosystem, and allows the Hub to participate in the economic upside of its graduate brands after they leave physical stall space.</w:t>
      </w:r>
    </w:p>
    <w:p>
      <w:pPr>
        <w:pStyle w:val="BodyText"/>
      </w:pPr>
      <w:r>
        <w:rPr>
          <w:b/>
          <w:bCs/>
        </w:rPr>
        <w:t xml:space="preserve">3. Local and Regional New Mexico Pantry Goods</w:t>
      </w:r>
    </w:p>
    <w:p>
      <w:pPr>
        <w:pStyle w:val="BodyText"/>
      </w:pPr>
      <w:r>
        <w:t>A curated selection of NM and borderland pantry staples that align naturally with the Hub’s culinary identity and tourism profile: Hatch chile products, local hot sauces, honey, biscochito mixes, piñon coffee, prickly pear goods, and regional apple products from the Sacramento Mountains and Velarde orchards (consistent with the cider bar’s heritage storytelling). This category strengthens community positioning and creates cross-promotional opportunities with regional producers — many of whom will already be supplying the Hub’s vendor stalls.</w:t>
      </w:r>
    </w:p>
    <w:p>
      <w:pPr>
        <w:pStyle w:val="BodyText"/>
      </w:pPr>
      <w:r>
        <w:rPr>
          <w:b/>
          <w:bCs/>
        </w:rPr>
        <w:t xml:space="preserve">4. Bottled Sauces, Marinades, and Spice Blends</w:t>
      </w:r>
    </w:p>
    <w:p>
      <w:pPr>
        <w:pStyle w:val="BodyText"/>
      </w:pPr>
      <w:r>
        <w:t>Smaller-format, high-turn retail items — bottled sauces, spice blends, dry rubs, and marinade pouches — inspired by individual vendor concepts. Marinade-in-a-bag formats are familiar to customers, easy to merchandise near point of exit, and naturally tied to the food experiences inside the hall. These create a low-barrier impulse purchase for first-time buyers and strong repeat-purchase behavior for regulars.</w:t>
      </w:r>
    </w:p>
    <w:p>
      <w:pPr>
        <w:pStyle w:val="BodyText"/>
      </w:pPr>
      <w:r>
        <w:rPr>
          <w:b/>
          <w:bCs/>
        </w:rPr>
        <w:t xml:space="preserve">5. Branded Merchandise and Kitchen Tools</w:t>
      </w:r>
    </w:p>
    <w:p>
      <w:pPr>
        <w:pStyle w:val="BodyText"/>
      </w:pPr>
      <w:r>
        <w:t>A modest, carefully edited selection of practical branded merchandise: aprons, tote bags, mugs, recipe booklets, and simple cooking tools. These should not dominate the assortment but contribute to average transaction size and create additional branding opportunities for event attendees, tourists, and Cider Club members. Merchandise should carry the Hub’s branding and reflect the culinary identity — not generic promotional items.</w:t>
      </w:r>
    </w:p>
    <w:bookmarkEnd w:id="45"/>
    <w:bookmarkStart w:id="46" w:name="operating-model"/>
    <w:p>
      <w:pPr>
        <w:pStyle w:val="Heading3"/>
      </w:pPr>
      <w:r>
        <w:t xml:space="preserve">Operating Model</w:t>
      </w:r>
    </w:p>
    <w:p>
      <w:pPr>
        <w:pStyle w:val="FirstParagraph"/>
      </w:pPr>
      <w:r>
        <w:t>The gift shop is compact, curated, and low-labor. Positioned near the main exit along the primary circulation path, it captures impulse purchases from guests who have already formed a strong flavor memory during their visit. The assortment launches deliberately limited — the most distinctive, highest-margin, and easiest-to-explain items first — and expands as vendor relationships deepen and sales data confirms winners. Branded kits and pantry items can be assembled in the Hub’s commissary or back-of-house prep space; locally sourced packaged goods are purchased wholesale from regional suppliers. Inventory is reviewed quarterly to maintain freshness, protect margins, and avoid SKU complexity.</w:t>
      </w:r>
    </w:p>
    <w:p>
      <w:pPr>
        <w:pStyle w:val="BodyText"/>
      </w:pPr>
      <w:r>
        <w:t>The retail program does not cannibalize stall-level food sales because it serves different use occasions — gifting, home cooking, pantry stocking, and tourism purchases — rather than competing for the same immediate dining decision. When properly merchandised, it adds revenue without adding the labor and infrastructure burden of another full restaurant stall.</w:t>
      </w:r>
    </w:p>
    <w:bookmarkEnd w:id="46"/>
    <w:bookmarkStart w:id="47" w:name="revenue-projections"/>
    <w:p>
      <w:pPr>
        <w:pStyle w:val="Heading3"/>
      </w:pPr>
      <w:r>
        <w:t xml:space="preserve">Revenue Projections</w:t>
      </w:r>
    </w:p>
    <w:p>
      <w:pPr>
        <w:pStyle w:val="FirstParagraph"/>
      </w:pPr>
      <w:r>
        <w:t>At conservative assumptions — 30% of daily visitors purchasing one gift shop item at an average of $18 — and an estimated 200 visits/day in Year 1, the gift shop generates approximately $18,000–$35,000 in gross retail revenue annually. At Year 2 volume (300 visits/day, higher tourist penetration from OMDPNM and M2M co-marketing), the program scales to $30,000–$55,000/year. At 50–65% gross margins on branded kits and pantry goods, net contribution is meaningfully positive with minimal incremental labor. These figures are included in the financial model as a discrete revenue line under “Gift Shop and Retail Merchandising.”</w:t>
      </w:r>
    </w:p>
    <w:bookmarkEnd w:id="47"/>
    <w:bookmarkEnd w:id="48"/>
    <w:bookmarkEnd w:id="49"/>
    <w:bookmarkStart w:id="60" w:name="operations-and-licensing"/>
    <w:p>
      <w:r>
        <w:br w:type="page"/>
      </w:r>
    </w:p>
    <w:p>
      <w:pPr>
        <w:pStyle w:val="Heading2"/>
      </w:pPr>
      <w:r>
        <w:t xml:space="preserve">6.4 Mobile Ordering and Digital Commerce Platform</w:t>
      </w:r>
    </w:p>
    <w:bookmarkStart w:id="53" w:name="strategic-purpose"/>
    <w:p>
      <w:pPr>
        <w:pStyle w:val="Heading3"/>
      </w:pPr>
      <w:r>
        <w:t xml:space="preserve">Strategic Purpose</w:t>
      </w:r>
    </w:p>
    <w:p>
      <w:pPr>
        <w:pStyle w:val="FirstParagraph"/>
      </w:pPr>
      <w:r>
        <w:t>The Hub’s Tabski POS handles the back-end of multi-vendor ordering — automated percentage-rent collection, per-stall KDS routing, and unified sales reporting. The mobile ordering platform is the consumer-facing layer on top of that infrastructure: a guest app that allows customers to browse all vendor menus, place pickup and to-go orders from multiple stalls in a single digital transaction, and manage loyalty rewards — all before or during their visit. The two systems work together. Tabski handles vendor-side operations; the app handles the guest relationship.</w:t>
      </w:r>
    </w:p>
    <w:p>
      <w:pPr>
        <w:pStyle w:val="BodyText"/>
      </w:pPr>
      <w:r>
        <w:t>The platform is treated as core operating infrastructure, not a convenience feature. It materially expands the Hub’s revenue capture, improves throughput, and strengthens the long-term customer relationship in ways that a counter-only ordering model cannot replicate.</w:t>
      </w:r>
    </w:p>
    <w:bookmarkEnd w:id="53"/>
    <w:bookmarkStart w:id="54" w:name="operational-benefits"/>
    <w:p>
      <w:pPr>
        <w:pStyle w:val="Heading3"/>
      </w:pPr>
      <w:r>
        <w:t xml:space="preserve">Operational Benefits</w:t>
      </w:r>
    </w:p>
    <w:p>
      <w:pPr>
        <w:pStyle w:val="FirstParagraph"/>
      </w:pPr>
      <w:r>
        <w:rPr>
          <w:b/>
          <w:bCs/>
        </w:rPr>
        <w:t xml:space="preserve">Throughput:</w:t>
      </w:r>
      <w:r>
        <w:t xml:space="preserve"> Pre-queued digital orders reduce counter congestion during lunch rushes and weekend peaks. Vendors receive orders via KDS before guests arrive, allowing preparation to begin immediately. For a 13-stall hall with simultaneous peak demand, this meaningfully improves throughput and perceived wait time without adding staff.</w:t>
      </w:r>
    </w:p>
    <w:p>
      <w:pPr>
        <w:pStyle w:val="BodyText"/>
      </w:pPr>
      <w:r>
        <w:rPr>
          <w:b/>
          <w:bCs/>
        </w:rPr>
        <w:t xml:space="preserve">Order Accuracy:</w:t>
      </w:r>
      <w:r>
        <w:t xml:space="preserve"> Digital orders eliminate verbal miscommunication at the counter. Modifications, allergen flags, and special instructions are captured in writing and routed directly to the stall’s kitchen display screen, reducing waste and remakes.</w:t>
      </w:r>
    </w:p>
    <w:p>
      <w:pPr>
        <w:pStyle w:val="BodyText"/>
      </w:pPr>
      <w:r>
        <w:rPr>
          <w:b/>
          <w:bCs/>
        </w:rPr>
        <w:t xml:space="preserve">Forecasting and Labor:</w:t>
      </w:r>
      <w:r>
        <w:t xml:space="preserve"> Digital order history creates reliable demand data for vendors: which items sell by day, time, and weather; when to prep more; when to reduce. This data is valuable for coaching conversations during monthly P&amp;L reviews and for optimizing labor scheduling across peak and off-peak periods.</w:t>
      </w:r>
    </w:p>
    <w:bookmarkEnd w:id="54"/>
    <w:bookmarkStart w:id="55" w:name="revenue-impact"/>
    <w:p>
      <w:pPr>
        <w:pStyle w:val="Heading3"/>
      </w:pPr>
      <w:r>
        <w:t xml:space="preserve">Revenue Impact</w:t>
      </w:r>
    </w:p>
    <w:p>
      <w:pPr>
        <w:pStyle w:val="FirstParagraph"/>
      </w:pPr>
      <w:r>
        <w:rPr>
          <w:b/>
          <w:bCs/>
        </w:rPr>
        <w:t xml:space="preserve">Off-Premise Expansion:</w:t>
      </w:r>
      <w:r>
        <w:t xml:space="preserve"> Pickup and to-go ordering captures revenue from customers who prefer not to dine in — NMSU students ordering between classes, downtown office workers on compressed lunch breaks, families with young children, and El Paso day-trippers who want to grab food before heading home on I-10. These customers represent genuine demand that a walk-up counter alone cannot efficiently serve.</w:t>
      </w:r>
    </w:p>
    <w:p>
      <w:pPr>
        <w:pStyle w:val="BodyText"/>
      </w:pPr>
      <w:r>
        <w:rPr>
          <w:b/>
          <w:bCs/>
        </w:rPr>
        <w:t xml:space="preserve">Higher Average Ticket:</w:t>
      </w:r>
      <w:r>
        <w:t xml:space="preserve"> Digital ordering naturally supports upsells, combo suggestions, and add-ons (“Add a cider flight? Add a gift shop item to your pickup?”) that counter staff cannot consistently execute during busy periods. Industry data across multi-vendor food halls consistently shows 12–18% higher average ticket on digital vs. counter orders.</w:t>
      </w:r>
    </w:p>
    <w:p>
      <w:pPr>
        <w:pStyle w:val="BodyText"/>
      </w:pPr>
      <w:r>
        <w:rPr>
          <w:b/>
          <w:bCs/>
        </w:rPr>
        <w:t xml:space="preserve">Direct Revenue from Platform:</w:t>
      </w:r>
      <w:r>
        <w:t xml:space="preserve"> A modest convenience fee on digital orders (e.g., $0.50–$1.00 per transaction) generates direct Hub revenue. At 30–50 digital orders per day in Year 1 (15–25% of estimated daily transactions), this produces $5,000–$15,000 annually — a small but incremental contribution that scales with volume.</w:t>
      </w:r>
    </w:p>
    <w:bookmarkEnd w:id="55"/>
    <w:bookmarkStart w:id="56" w:name="cross-category-integration"/>
    <w:p>
      <w:pPr>
        <w:pStyle w:val="Heading3"/>
      </w:pPr>
      <w:r>
        <w:t xml:space="preserve">Cross-Category Integration</w:t>
      </w:r>
    </w:p>
    <w:p>
      <w:pPr>
        <w:pStyle w:val="FirstParagraph"/>
      </w:pPr>
      <w:r>
        <w:t>The platform’s value compounds across the Hub’s other revenue streams. It can sell gift shop products (Section 5.5) for add-on or standalone retail pickup. It can manage event pre-sales and Cider Club member early access. It can push targeted promotions tied to seasonal vendor menus, new incubator launches, and OMDPNM-tied tourism campaigns (e.g., “Order ahead for your post-hike lunch”). This cross-category capability makes the app a unified customer engagement platform, not a single-function ordering utility.</w:t>
      </w:r>
    </w:p>
    <w:bookmarkEnd w:id="56"/>
    <w:bookmarkStart w:id="57" w:name="loyalty-and-retention"/>
    <w:p>
      <w:pPr>
        <w:pStyle w:val="Heading3"/>
      </w:pPr>
      <w:r>
        <w:t xml:space="preserve">Loyalty and Retention</w:t>
      </w:r>
    </w:p>
    <w:p>
      <w:pPr>
        <w:pStyle w:val="FirstParagraph"/>
      </w:pPr>
      <w:r>
        <w:t>The app creates a durable post-visit relationship through loyalty rewards, digital offers, and push notifications tied to events, seasonal menus, and new vendor launches. Unlike a walk-up customer who leaves no data, an app user creates an identifiable profile that the Hub can engage repeatedly. For a destination food hall in a smaller metro like Las Cruces, converting a first-time visitor into a regular depends on staying top of mind between visits — and a loyalty-linked app is the most cost-effective tool available for that job.</w:t>
      </w:r>
    </w:p>
    <w:bookmarkEnd w:id="57"/>
    <w:bookmarkStart w:id="58" w:name="tabski-integration-note"/>
    <w:p>
      <w:pPr>
        <w:pStyle w:val="Heading3"/>
      </w:pPr>
      <w:r>
        <w:t xml:space="preserve">Tabski Integration Note</w:t>
      </w:r>
    </w:p>
    <w:p>
      <w:pPr>
        <w:pStyle w:val="FirstParagraph"/>
      </w:pPr>
      <w:r>
        <w:t>Tabski’s native multi-vendor architecture supports third-party app integrations and online ordering modules. Before finalizing the digital commerce vendor selection, confirm with Tabski whether their online ordering layer natively supports the Hub’s multi-vendor checkout model, or whether a third-party platform (e.g., Olo, Lunchbox, or a white-label food hall app) integrates via Tabski’s API. The commissary kitchen component uses The Food Corridor for scheduling — the mobile ordering platform applies only to the food hall vendor stalls and retail programs. Full technical evaluation is recommended in Phase 2 (Months 4–7) as part of the Tabski implementation scope. See Supplement F for the full POS comparison and cost model.</w:t>
      </w:r>
    </w:p>
    <w:bookmarkEnd w:id="58"/>
    <w:bookmarkEnd w:id="59"/>
    <w:bookmarkEnd w:id="60"/>
    <w:bookmarkStart w:id="65" w:name="financial-snapshot"/>
    <w:p>
      <w:r>
        <w:br w:type="page"/>
      </w:r>
    </w:p>
    <w:p>
      <w:pPr>
        <w:pStyle w:val="Heading1"/>
      </w:pPr>
      <w:r>
        <w:t xml:space="preserve">Supplement Q: Regional Tourism Context — Organ Mountains–Desert Peaks National Monument and Las Cruces Visitor Economy</w:t>
      </w:r>
    </w:p>
    <w:bookmarkStart w:id="303" w:name="q.1-purpose-of-this-supplement"/>
    <w:p>
      <w:pPr>
        <w:pStyle w:val="Heading2"/>
      </w:pPr>
      <w:r>
        <w:t xml:space="preserve">Q.1 Purpose of This Supplement</w:t>
      </w:r>
    </w:p>
    <w:p>
      <w:pPr>
        <w:pStyle w:val="FirstParagraph"/>
      </w:pPr>
      <w:r>
        <w:t>This supplement documents the regional tourism context that supports the Hub’s visitor demand assumptions. It draws from two primary sources: (1) the Organ Mountains–Desert Peaks National Monument Economic Impact Report (BBC Research &amp; Consulting, August 2023), prepared for the Las Cruces Green Chamber of Commerce using IMPLAN regional input-output modeling; and (2) the BLM Las Cruces District Office Annual Manager’s Report for FY2024. Together, these documents establish that the Las Cruces gateway economy already receives substantial visitor traffic that generates meaningful food-and-beverage demand — and that the market’s existing programming infrastructure successfully converts visitor attention into downtown commercial activity.</w:t>
      </w:r>
    </w:p>
    <w:bookmarkEnd w:id="303"/>
    <w:bookmarkStart w:id="304" w:name="X75effe7b117a7c963a0e99109114944926ecb67"/>
    <w:p>
      <w:pPr>
        <w:pStyle w:val="Heading2"/>
      </w:pPr>
      <w:r>
        <w:t xml:space="preserve">Q.2 OMDPNM Economic Impact — Key Figures (2022)</w:t>
      </w:r>
    </w:p>
    <w:p>
      <w:pPr>
        <w:pStyle w:val="FirstParagraph"/>
      </w:pPr>
      <w:r>
        <w:t>The following figures are drawn from BBC Research &amp; Consulting (2023), “A Decade of Opportunity: How the Designation of Organ Mountains–Desert Peaks National Monument is Boosting Southern New Mexico’s Economy,” using IMPLAN regional input-output modeling for Doña Ana and Luna Counties:</w:t>
      </w:r>
    </w:p>
    <w:p>
      <w:pPr>
        <w:numPr>
          <w:ilvl w:val="0"/>
          <w:numId w:val="1030"/>
        </w:numPr>
      </w:pPr>
      <w:r>
        <w:t>Total annual economic impact (2022): $35.0 million, including direct and secondary effects</w:t>
      </w:r>
    </w:p>
    <w:p>
      <w:pPr>
        <w:numPr>
          <w:ilvl w:val="0"/>
          <w:numId w:val="1030"/>
        </w:numPr>
      </w:pPr>
      <w:r>
        <w:t>Total non-local visitor spending (2022): $29.9 million within 50 miles of the Monument</w:t>
      </w:r>
    </w:p>
    <w:p>
      <w:pPr>
        <w:numPr>
          <w:ilvl w:val="0"/>
          <w:numId w:val="1030"/>
        </w:numPr>
      </w:pPr>
      <w:r>
        <w:t>Restaurant spending by non-local visitors (2022): $6.2 million (calculated from Figure 8 spending category breakdown: day visitors $257,589; overnight non-facility $441,606; overnight commercial $2,582,440; overnight non-participating $2,930,621)</w:t>
      </w:r>
    </w:p>
    <w:p>
      <w:pPr>
        <w:numPr>
          <w:ilvl w:val="0"/>
          <w:numId w:val="1030"/>
        </w:numPr>
      </w:pPr>
      <w:r>
        <w:t xml:space="preserve">Jobs supported in Doña Ana and Luna Counties (2022): 305</w:t>
      </w:r>
    </w:p>
    <w:p>
      <w:pPr>
        <w:numPr>
          <w:ilvl w:val="0"/>
          <w:numId w:val="1030"/>
        </w:numPr>
      </w:pPr>
      <w:r>
        <w:t>Tax revenues generated (2022): $1.9 million for local, county, and state governments</w:t>
      </w:r>
    </w:p>
    <w:p>
      <w:pPr>
        <w:numPr>
          <w:ilvl w:val="0"/>
          <w:numId w:val="1030"/>
        </w:numPr>
      </w:pPr>
      <w:r>
        <w:t>Total cumulative economic impact since designation (2014–2022): $234 million</w:t>
      </w:r>
    </w:p>
    <w:p>
      <w:pPr>
        <w:numPr>
          <w:ilvl w:val="0"/>
          <w:numId w:val="1030"/>
        </w:numPr>
      </w:pPr>
      <w:r>
        <w:t>Annual visitation trend: 183,900 (2012, pre-designation) → 612,781 (2022) → 613,645 (FY2024, BLM) — more than tripling and holding steady, exceeding original predictions by 51%</w:t>
      </w:r>
    </w:p>
    <w:p>
      <w:pPr>
        <w:numPr>
          <w:ilvl w:val="0"/>
          <w:numId w:val="1030"/>
        </w:numPr>
      </w:pPr>
      <w:r>
        <w:t>73% of non-local visitors cited OMDPNM as the primary reason for their visit to the Las Cruces area</w:t>
      </w:r>
    </w:p>
    <w:bookmarkEnd w:id="304"/>
    <w:bookmarkStart w:id="305" w:name="q.3-hub-implications"/>
    <w:p>
      <w:pPr>
        <w:pStyle w:val="Heading2"/>
      </w:pPr>
      <w:r>
        <w:t xml:space="preserve">Q.3 Hub Implications</w:t>
      </w:r>
    </w:p>
    <w:p>
      <w:pPr>
        <w:pStyle w:val="FirstParagraph"/>
      </w:pPr>
      <w:r>
        <w:t>The OMDPNM data establishes three facts directly relevant to the Hub’s demand case:</w:t>
      </w:r>
    </w:p>
    <w:p>
      <w:pPr>
        <w:numPr>
          <w:ilvl w:val="0"/>
          <w:numId w:val="1031"/>
        </w:numPr>
      </w:pPr>
      <w:r>
        <w:t>Visitor restaurant spending is already $6.2 million annually from monument visitors alone, before accounting for the 2.5 million total out-of-market visitors documented by Placer. This is not speculative demand — it is documented, recurring restaurant revenue from people already in the Las Cruces market who have no dedicated destination dining venue to visit.</w:t>
      </w:r>
    </w:p>
    <w:p>
      <w:pPr>
        <w:numPr>
          <w:ilvl w:val="0"/>
          <w:numId w:val="1031"/>
        </w:numPr>
      </w:pPr>
      <w:r>
        <w:t>Las Cruces responds to programmed experiences. The BLM FY2024 Manager’s Report documents 19 guided hikes, an archaeological fair, a 10th-anniversary celebration with 948 attendees, a girls’ outdoor camp, and social media reach of over half a million people. Visit Las Cruces has built “Monuments to Main Street” to channel this engagement into local business activity. The Hub’s weekly events, monthly cultural festivals, and quarterly signature events are the commercial counterpart of this proven community engagement model.</w:t>
      </w:r>
    </w:p>
    <w:p>
      <w:pPr>
        <w:numPr>
          <w:ilvl w:val="0"/>
          <w:numId w:val="1031"/>
        </w:numPr>
      </w:pPr>
      <w:r>
        <w:t>The economic multiplier is real. OMDPNM’s $29.9 million in direct non-local visitor spending generated $35.0 million in total economic impact — a 1.17x multiplier. The Hub operates at the direct-spending layer of this same economy. Every dollar captured at the Hub from monument visitors, I-10 travelers, or regional day-trippers represents new money to the Las Cruces economy, not a reallocation from an existing restaurant.</w:t>
      </w:r>
    </w:p>
    <w:bookmarkEnd w:id="305"/>
    <w:bookmarkStart w:id="306" w:name="q.4-marketing-partnership-opportunity"/>
    <w:p>
      <w:pPr>
        <w:pStyle w:val="Heading2"/>
      </w:pPr>
      <w:r>
        <w:t xml:space="preserve">Q.4 Marketing Partnership Opportunity</w:t>
      </w:r>
    </w:p>
    <w:p>
      <w:pPr>
        <w:pStyle w:val="FirstParagraph"/>
      </w:pPr>
      <w:r>
        <w:t>The Hub should pursue a formal co-marketing relationship with Visit Las Cruces’ Monuments to Main Street (M2M) program, which already routes monument visitors into downtown businesses. Tactical actions: (1) apply for inclusion in the M2M business directory before Grand Opening; (2) propose a “Trails to Tables” promotion that pairs monument hiking events with Hub dining reservations; (3) schedule Hub cultural events during peak monument visitation periods (May anniversary, holiday weekend hikes); (4) co-brand the Hub cider bar’s NM craft cider program with the local outdoor identity — “Hike the monument, drink the cider.”</w:t>
      </w:r>
    </w:p>
    <w:p>
      <w:pPr>
        <w:pStyle w:val="BodyText"/>
      </w:pPr>
      <w:r>
        <w:rPr>
          <w:i/>
          <w:iCs/>
        </w:rPr>
        <w:t>Sources: BBC Research &amp; Consulting (August 2023), “A Decade of Opportunity: How the Designation of Organ Mountains–Desert Peaks National Monument is Boosting Southern New Mexico’s Economy,” prepared for the Las Cruces Green Chamber of Commerce; BLM Las Cruces District Office, “2024 Annual Manager’s Report: Organ Mountains–Desert Peaks National Monument”; Placer out-of-market visitor data compiled by Visit Las Cruces, April 7, 2026.</w:t>
      </w:r>
    </w:p>
    <w:bookmarkEnd w:id="306"/>
    <w:bookmarkEnd w:id="307"/>
    <w:sectPr w:rsidR="00FC693F" w:rsidRPr="0006063C" w:rsidSect="00034616">
      <w:pgSz w:h="15840" w:w="12240"/>
      <w:pgMar w:bottom="1440" w:footer="720" w:gutter="0" w:header="720" w:left="1440" w:right="1440" w:top="1440"/>
      <w:cols w:space="720"/>
      <w:docGrid w:linePitch="360"/>
    </w:sectPr>
    <w:p>
      <w:pPr>
        <w:spacing w:before="60" w:after="80"/>
      </w:pPr>
      <w:r>
        <w:rPr>
          <w:i/>
          <w:color w:val="555555"/>
          <w:sz w:val="20"/>
          <w:szCs w:val="20"/>
        </w:rPr>
        <w:t xml:space="preserve">Sources: BBC Research &amp; Consulting (August 2023), “A Decade of Opportunity: How the Designation of Organ Mountains–Desert Peaks National Monument is Boosting Southern New Mexico’s Economy,” prepared for the Las Cruces Green Chamber of Commerce; BLM Las Cruces District Office, “2024 Annual Manager’s Report: Organ Mountains–Desert Peaks National Monument”; Placer out-of-market visitor data compiled by Visit Las Cruces, April 7, 2026.</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563A8"/>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2026-03-31T22:20:29.557Z</dcterms:created>
  <dcterms:modified xsi:type="dcterms:W3CDTF">2026-03-31T22:20:29.558Z</dcterms:modified>
</cp:coreProperties>
</file>

<file path=docProps/custom.xml><?xml version="1.0" encoding="utf-8"?>
<Properties xmlns="http://schemas.openxmlformats.org/officeDocument/2006/custom-properties" xmlns:vt="http://schemas.openxmlformats.org/officeDocument/2006/docPropsVTypes"/>
</file>