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1F497D"/>
          <w:sz w:val="56"/>
        </w:rPr>
        <w:t>DjangoSanidad</w:t>
      </w:r>
    </w:p>
    <w:p>
      <w:pPr>
        <w:jc w:val="center"/>
      </w:pPr>
      <w:r>
        <w:rPr>
          <w:color w:val="2E74B5"/>
          <w:sz w:val="36"/>
        </w:rPr>
        <w:t>Documentación Técnica</w:t>
      </w:r>
    </w:p>
    <w:p/>
    <w:p>
      <w:pPr>
        <w:jc w:val="center"/>
      </w:pPr>
      <w:r>
        <w:rPr>
          <w:color w:val="606060"/>
        </w:rPr>
        <w:t>Versión 1.0  ·  Marzo 2026  ·  Estado: En desarrollo activo</w:t>
      </w:r>
    </w:p>
    <w:p>
      <w:r>
        <w:br w:type="page"/>
      </w:r>
    </w:p>
    <w:p>
      <w:pPr>
        <w:spacing w:before="280" w:after="80"/>
      </w:pPr>
      <w:r>
        <w:rPr>
          <w:b/>
          <w:color w:val="2E74B5"/>
          <w:sz w:val="32"/>
        </w:rPr>
        <w:t>1. Descripción del Proyecto</w:t>
      </w:r>
    </w:p>
    <w:p>
      <w:pPr>
        <w:spacing w:before="40" w:after="40"/>
        <w:pBdr>
          <w:bottom w:val="single" w:sz="6" w:space="1" w:color="2E74B5"/>
        </w:pBdr>
      </w:pPr>
    </w:p>
    <w:p>
      <w:pPr>
        <w:spacing w:after="120"/>
      </w:pPr>
      <w:r>
        <w:t>DjangoSanidad es un sistema de gestión de laboratorio veterinario/patológico. Permite registrar, consultar y gestionar muestras biológicas de distintos tipos, vinculando imágenes, informes de resultados y volantes de petición a cada entrada. El sistema contempla múltiples perfiles de usuario con acceso restringido según su rol, y genera códigos QR únicos para cada muestra con el fin de facilitar su trazabilidad física.</w:t>
      </w:r>
    </w:p>
    <w:p>
      <w:pPr>
        <w:spacing w:after="120"/>
      </w:pPr>
      <w:r>
        <w:t>El proyecto tiene una doble interfaz:</w:t>
      </w:r>
    </w:p>
    <w:p>
      <w:pPr>
        <w:pStyle w:val="ListBullet"/>
        <w:spacing w:after="40"/>
      </w:pPr>
      <w:r>
        <w:t>Interfaz web basada en plantillas Django con formularios HTML y llamadas AJAX.</w:t>
      </w:r>
    </w:p>
    <w:p>
      <w:pPr>
        <w:pStyle w:val="ListBullet"/>
        <w:spacing w:after="40"/>
      </w:pPr>
      <w:r>
        <w:t>API REST consumible por clientes externos (por ejemplo, el sistema heredado PHPSanidad).</w:t>
      </w:r>
    </w:p>
    <w:p>
      <w:pPr>
        <w:spacing w:before="280" w:after="80"/>
      </w:pPr>
      <w:r>
        <w:rPr>
          <w:b/>
          <w:color w:val="2E74B5"/>
          <w:sz w:val="32"/>
        </w:rPr>
        <w:t>2. Stack Tecnológico</w:t>
      </w:r>
    </w:p>
    <w:p>
      <w:pPr>
        <w:spacing w:before="40" w:after="40"/>
        <w:pBdr>
          <w:bottom w:val="single" w:sz="6" w:space="1" w:color="2E74B5"/>
        </w:pBdr>
      </w:pPr>
    </w:p>
    <w:tbl>
      <w:tblPr>
        <w:tblStyle w:val="TableGrid"/>
        <w:tblW w:type="auto" w:w="0"/>
        <w:jc w:val="left"/>
        <w:tblLook w:firstColumn="1" w:firstRow="1" w:lastColumn="0" w:lastRow="0" w:noHBand="0" w:noVBand="1" w:val="04A0"/>
      </w:tblPr>
      <w:tblGrid>
        <w:gridCol w:w="2880"/>
        <w:gridCol w:w="2880"/>
        <w:gridCol w:w="2880"/>
      </w:tblGrid>
      <w:tr>
        <w:tc>
          <w:tcPr>
            <w:tcW w:type="dxa" w:w="2835"/>
            <w:shd w:val="clear" w:color="auto" w:fill="2E74B5"/>
          </w:tcPr>
          <w:p>
            <w:r>
              <w:rPr>
                <w:b/>
                <w:color w:val="FFFFFF"/>
              </w:rPr>
              <w:t>Capa</w:t>
            </w:r>
          </w:p>
        </w:tc>
        <w:tc>
          <w:tcPr>
            <w:tcW w:type="dxa" w:w="3402"/>
            <w:shd w:val="clear" w:color="auto" w:fill="2E74B5"/>
          </w:tcPr>
          <w:p>
            <w:r>
              <w:rPr>
                <w:b/>
                <w:color w:val="FFFFFF"/>
              </w:rPr>
              <w:t>Tecnología</w:t>
            </w:r>
          </w:p>
        </w:tc>
        <w:tc>
          <w:tcPr>
            <w:tcW w:type="dxa" w:w="2268"/>
            <w:shd w:val="clear" w:color="auto" w:fill="2E74B5"/>
          </w:tcPr>
          <w:p>
            <w:r>
              <w:rPr>
                <w:b/>
                <w:color w:val="FFFFFF"/>
              </w:rPr>
              <w:t>Versión</w:t>
            </w:r>
          </w:p>
        </w:tc>
      </w:tr>
      <w:tr>
        <w:tc>
          <w:tcPr>
            <w:tcW w:type="dxa" w:w="2835"/>
          </w:tcPr>
          <w:p>
            <w:r>
              <w:t>Framework web</w:t>
            </w:r>
          </w:p>
        </w:tc>
        <w:tc>
          <w:tcPr>
            <w:tcW w:type="dxa" w:w="3402"/>
          </w:tcPr>
          <w:p>
            <w:r>
              <w:t>Django</w:t>
            </w:r>
          </w:p>
        </w:tc>
        <w:tc>
          <w:tcPr>
            <w:tcW w:type="dxa" w:w="2268"/>
          </w:tcPr>
          <w:p>
            <w:r>
              <w:t>6.0.3</w:t>
            </w:r>
          </w:p>
        </w:tc>
      </w:tr>
      <w:tr>
        <w:tc>
          <w:tcPr>
            <w:tcW w:type="dxa" w:w="2835"/>
          </w:tcPr>
          <w:p>
            <w:r>
              <w:t>API REST</w:t>
            </w:r>
          </w:p>
        </w:tc>
        <w:tc>
          <w:tcPr>
            <w:tcW w:type="dxa" w:w="3402"/>
          </w:tcPr>
          <w:p>
            <w:r>
              <w:t>Django REST Framework</w:t>
            </w:r>
          </w:p>
        </w:tc>
        <w:tc>
          <w:tcPr>
            <w:tcW w:type="dxa" w:w="2268"/>
          </w:tcPr>
          <w:p>
            <w:r>
              <w:t>3.16.1</w:t>
            </w:r>
          </w:p>
        </w:tc>
      </w:tr>
      <w:tr>
        <w:tc>
          <w:tcPr>
            <w:tcW w:type="dxa" w:w="2835"/>
          </w:tcPr>
          <w:p>
            <w:r>
              <w:t>Base de datos</w:t>
            </w:r>
          </w:p>
        </w:tc>
        <w:tc>
          <w:tcPr>
            <w:tcW w:type="dxa" w:w="3402"/>
          </w:tcPr>
          <w:p>
            <w:r>
              <w:t>SQLite3 (dev) / MySQL (prod)</w:t>
            </w:r>
          </w:p>
        </w:tc>
        <w:tc>
          <w:tcPr>
            <w:tcW w:type="dxa" w:w="2268"/>
          </w:tcPr>
          <w:p>
            <w:r>
              <w:t>—</w:t>
            </w:r>
          </w:p>
        </w:tc>
      </w:tr>
      <w:tr>
        <w:tc>
          <w:tcPr>
            <w:tcW w:type="dxa" w:w="2835"/>
          </w:tcPr>
          <w:p>
            <w:r>
              <w:t>Driver MySQL</w:t>
            </w:r>
          </w:p>
        </w:tc>
        <w:tc>
          <w:tcPr>
            <w:tcW w:type="dxa" w:w="3402"/>
          </w:tcPr>
          <w:p>
            <w:r>
              <w:t>PyMySQL</w:t>
            </w:r>
          </w:p>
        </w:tc>
        <w:tc>
          <w:tcPr>
            <w:tcW w:type="dxa" w:w="2268"/>
          </w:tcPr>
          <w:p>
            <w:r>
              <w:t>1.1.2</w:t>
            </w:r>
          </w:p>
        </w:tc>
      </w:tr>
      <w:tr>
        <w:tc>
          <w:tcPr>
            <w:tcW w:type="dxa" w:w="2835"/>
          </w:tcPr>
          <w:p>
            <w:r>
              <w:t>Procesamiento de imágenes</w:t>
            </w:r>
          </w:p>
        </w:tc>
        <w:tc>
          <w:tcPr>
            <w:tcW w:type="dxa" w:w="3402"/>
          </w:tcPr>
          <w:p>
            <w:r>
              <w:t>Pillow</w:t>
            </w:r>
          </w:p>
        </w:tc>
        <w:tc>
          <w:tcPr>
            <w:tcW w:type="dxa" w:w="2268"/>
          </w:tcPr>
          <w:p>
            <w:r>
              <w:t>12.1.1</w:t>
            </w:r>
          </w:p>
        </w:tc>
      </w:tr>
      <w:tr>
        <w:tc>
          <w:tcPr>
            <w:tcW w:type="dxa" w:w="2835"/>
          </w:tcPr>
          <w:p>
            <w:r>
              <w:t>Generación de QR</w:t>
            </w:r>
          </w:p>
        </w:tc>
        <w:tc>
          <w:tcPr>
            <w:tcW w:type="dxa" w:w="3402"/>
          </w:tcPr>
          <w:p>
            <w:r>
              <w:t>qrcode</w:t>
            </w:r>
          </w:p>
        </w:tc>
        <w:tc>
          <w:tcPr>
            <w:tcW w:type="dxa" w:w="2268"/>
          </w:tcPr>
          <w:p>
            <w:r>
              <w:t>8.2</w:t>
            </w:r>
          </w:p>
        </w:tc>
      </w:tr>
      <w:tr>
        <w:tc>
          <w:tcPr>
            <w:tcW w:type="dxa" w:w="2835"/>
          </w:tcPr>
          <w:p>
            <w:r>
              <w:t>CORS</w:t>
            </w:r>
          </w:p>
        </w:tc>
        <w:tc>
          <w:tcPr>
            <w:tcW w:type="dxa" w:w="3402"/>
          </w:tcPr>
          <w:p>
            <w:r>
              <w:t>django-cors-headers</w:t>
            </w:r>
          </w:p>
        </w:tc>
        <w:tc>
          <w:tcPr>
            <w:tcW w:type="dxa" w:w="2268"/>
          </w:tcPr>
          <w:p>
            <w:r>
              <w:t>4.9.0</w:t>
            </w:r>
          </w:p>
        </w:tc>
      </w:tr>
      <w:tr>
        <w:tc>
          <w:tcPr>
            <w:tcW w:type="dxa" w:w="2835"/>
          </w:tcPr>
          <w:p>
            <w:r>
              <w:t>Servidor ASGI</w:t>
            </w:r>
          </w:p>
        </w:tc>
        <w:tc>
          <w:tcPr>
            <w:tcW w:type="dxa" w:w="3402"/>
          </w:tcPr>
          <w:p>
            <w:r>
              <w:t>asgiref</w:t>
            </w:r>
          </w:p>
        </w:tc>
        <w:tc>
          <w:tcPr>
            <w:tcW w:type="dxa" w:w="2268"/>
          </w:tcPr>
          <w:p>
            <w:r>
              <w:t>3.11.1</w:t>
            </w:r>
          </w:p>
        </w:tc>
      </w:tr>
      <w:tr>
        <w:tc>
          <w:tcPr>
            <w:tcW w:type="dxa" w:w="2835"/>
          </w:tcPr>
          <w:p>
            <w:r>
              <w:t>Lenguaje</w:t>
            </w:r>
          </w:p>
        </w:tc>
        <w:tc>
          <w:tcPr>
            <w:tcW w:type="dxa" w:w="3402"/>
          </w:tcPr>
          <w:p>
            <w:r>
              <w:t>Python 3.x</w:t>
            </w:r>
          </w:p>
        </w:tc>
        <w:tc>
          <w:tcPr>
            <w:tcW w:type="dxa" w:w="2268"/>
          </w:tcPr>
          <w:p>
            <w:r>
              <w:t>—</w:t>
            </w:r>
          </w:p>
        </w:tc>
      </w:tr>
    </w:tbl>
    <w:p/>
    <w:p>
      <w:pPr>
        <w:spacing w:before="280" w:after="80"/>
      </w:pPr>
      <w:r>
        <w:rPr>
          <w:b/>
          <w:color w:val="2E74B5"/>
          <w:sz w:val="32"/>
        </w:rPr>
        <w:t>3. Estructura del Proyecto</w:t>
      </w:r>
    </w:p>
    <w:p>
      <w:pPr>
        <w:spacing w:before="40" w:after="40"/>
        <w:pBdr>
          <w:bottom w:val="single" w:sz="6" w:space="1" w:color="2E74B5"/>
        </w:pBdr>
      </w:pPr>
    </w:p>
    <w:p>
      <w:pPr>
        <w:spacing w:before="80" w:after="80"/>
        <w:ind w:left="567"/>
        <w:shd w:val="clear" w:color="auto" w:fill="F2F2F2"/>
      </w:pPr>
      <w:r>
        <w:rPr>
          <w:rFonts w:ascii="Courier New" w:hAnsi="Courier New"/>
          <w:color w:val="202020"/>
          <w:sz w:val="18"/>
        </w:rPr>
        <w:t>DjangoSanidad/</w:t>
        <w:br/>
        <w:t>├── core/          # Configuración global (settings, urls, wsgi)</w:t>
        <w:br/>
        <w:t>├── api/           # Modelos, ViewSets DRF, serializers, excepciones</w:t>
        <w:br/>
        <w:t>├── web/           # Vistas HTML, formularios, middleware, templates</w:t>
        <w:br/>
        <w:t>├── media/         # Ficheros subidos por usuarios</w:t>
        <w:br/>
        <w:t>├── logs/          # errors.log generado en runtime</w:t>
        <w:br/>
        <w:t>├── css/ js/ assets/  # Estáticos del frontend</w:t>
        <w:br/>
        <w:t>└── requirements.txt</w:t>
      </w:r>
    </w:p>
    <w:p>
      <w:pPr>
        <w:spacing w:before="280" w:after="80"/>
      </w:pPr>
      <w:r>
        <w:rPr>
          <w:b/>
          <w:color w:val="1F497D"/>
          <w:sz w:val="26"/>
        </w:rPr>
        <w:t>Módulo core/</w:t>
      </w:r>
    </w:p>
    <w:p>
      <w:pPr>
        <w:spacing w:after="120"/>
      </w:pPr>
      <w:r>
        <w:t>Contiene la configuración central de Django: settings.py con todas las variables de entorno, el router raíz de URLs y los ficheros wsgi/asgi para el servidor de aplicaciones.</w:t>
      </w:r>
    </w:p>
    <w:p>
      <w:pPr>
        <w:spacing w:before="280" w:after="80"/>
      </w:pPr>
      <w:r>
        <w:rPr>
          <w:b/>
          <w:color w:val="1F497D"/>
          <w:sz w:val="26"/>
        </w:rPr>
        <w:t>Módulo api/</w:t>
      </w:r>
    </w:p>
    <w:p>
      <w:pPr>
        <w:spacing w:after="120"/>
      </w:pPr>
      <w:r>
        <w:t>Toda la lógica de negocio y la API REST residen aquí. Contiene los modelos ORM, los ViewSets de DRF, los serializers con validación de catálogo y un manejador de excepciones personalizado que garantiza respuestas JSON consistentes.</w:t>
      </w:r>
    </w:p>
    <w:p>
      <w:pPr>
        <w:spacing w:before="280" w:after="80"/>
      </w:pPr>
      <w:r>
        <w:rPr>
          <w:b/>
          <w:color w:val="1F497D"/>
          <w:sz w:val="26"/>
        </w:rPr>
        <w:t>Módulo web/</w:t>
      </w:r>
    </w:p>
    <w:p>
      <w:pPr>
        <w:spacing w:after="120"/>
      </w:pPr>
      <w:r>
        <w:t>Interfaz web orientada al usuario final. Incluye las vistas CRUD, los ModelForms con opciones dinámicas, el middleware de control de acceso por rol y todas las plantillas HTML con AJAX embebido para operaciones sin recarga de página.</w:t>
      </w:r>
    </w:p>
    <w:p>
      <w:pPr>
        <w:spacing w:before="280" w:after="80"/>
      </w:pPr>
      <w:r>
        <w:rPr>
          <w:b/>
          <w:color w:val="2E74B5"/>
          <w:sz w:val="32"/>
        </w:rPr>
        <w:t>4. Arquitectura General</w:t>
      </w:r>
    </w:p>
    <w:p>
      <w:pPr>
        <w:spacing w:before="40" w:after="40"/>
        <w:pBdr>
          <w:bottom w:val="single" w:sz="6" w:space="1" w:color="2E74B5"/>
        </w:pBdr>
      </w:pPr>
    </w:p>
    <w:p>
      <w:pPr>
        <w:spacing w:after="120"/>
      </w:pPr>
      <w:r>
        <w:t>El proyecto sigue una arquitectura MTV (Model-Template-View) estándar de Django, complementada con una capa de API REST basada en Django REST Framework. Ambas capas comparten exactamente los mismos modelos de datos; no existe duplicación de esquema.</w:t>
      </w:r>
    </w:p>
    <w:p>
      <w:pPr>
        <w:spacing w:before="80" w:after="80"/>
        <w:ind w:left="567"/>
        <w:shd w:val="clear" w:color="auto" w:fill="F2F2F2"/>
      </w:pPr>
      <w:r>
        <w:rPr>
          <w:rFonts w:ascii="Courier New" w:hAnsi="Courier New"/>
          <w:color w:val="202020"/>
          <w:sz w:val="18"/>
        </w:rPr>
        <w:t>Navegador / Cliente externo</w:t>
        <w:br/>
        <w:t xml:space="preserve">         │</w:t>
        <w:br/>
        <w:t xml:space="preserve">         ▼</w:t>
        <w:br/>
        <w:t xml:space="preserve">   core/urls.py ─────────────────────────────────</w:t>
        <w:br/>
        <w:t xml:space="preserve">         │                                       │</w:t>
        <w:br/>
        <w:t xml:space="preserve">         ▼                                       ▼</w:t>
        <w:br/>
        <w:t xml:space="preserve">   web/urls.py                             api/urls.py</w:t>
        <w:br/>
        <w:t xml:space="preserve">   (vistas HTML)                         (DRF Router)</w:t>
        <w:br/>
        <w:t xml:space="preserve">         │                                       │</w:t>
        <w:br/>
        <w:t xml:space="preserve">         ▼                                       ▼</w:t>
        <w:br/>
        <w:t xml:space="preserve">   web/views.py                           api/views.py</w:t>
        <w:br/>
        <w:t xml:space="preserve">   (CRUD + auth)                         (ViewSets DRF)</w:t>
        <w:br/>
        <w:t xml:space="preserve">         │                                       │</w:t>
        <w:br/>
        <w:t xml:space="preserve">         └──────────────┬────────────────────────┘</w:t>
        <w:br/>
        <w:t xml:space="preserve">                        ▼</w:t>
        <w:br/>
        <w:t xml:space="preserve">                  api/models.py</w:t>
        <w:br/>
        <w:t xml:space="preserve">              (ORM Django + SQLite/MySQL)</w:t>
      </w:r>
    </w:p>
    <w:p>
      <w:pPr>
        <w:spacing w:after="120"/>
      </w:pPr>
      <w:r>
        <w:t>El frontend web consume directamente el ORM de Django a través de las vistas del módulo web. La API REST es independiente y está pensada para integraciones externas. Cualquier cambio en los modelos afecta simultáneamente a ambas interfaces.</w:t>
      </w:r>
    </w:p>
    <w:p>
      <w:pPr>
        <w:spacing w:before="280" w:after="80"/>
      </w:pPr>
      <w:r>
        <w:rPr>
          <w:b/>
          <w:color w:val="2E74B5"/>
          <w:sz w:val="32"/>
        </w:rPr>
        <w:t>5. Modelo de Datos</w:t>
      </w:r>
    </w:p>
    <w:p>
      <w:pPr>
        <w:spacing w:before="40" w:after="40"/>
        <w:pBdr>
          <w:bottom w:val="single" w:sz="6" w:space="1" w:color="2E74B5"/>
        </w:pBdr>
      </w:pPr>
    </w:p>
    <w:p>
      <w:pPr>
        <w:spacing w:before="280" w:after="80"/>
      </w:pPr>
      <w:r>
        <w:rPr>
          <w:b/>
          <w:color w:val="1F497D"/>
          <w:sz w:val="26"/>
        </w:rPr>
        <w:t>5.1 Jerarquía de Clases Abstractas</w:t>
      </w:r>
    </w:p>
    <w:p>
      <w:pPr>
        <w:spacing w:after="120"/>
      </w:pPr>
      <w:r>
        <w:t>Para evitar duplicación de código entre los 6 tipos de muestra, el proyecto define una jerarquía de modelos abstractos:</w:t>
      </w:r>
    </w:p>
    <w:p>
      <w:pPr>
        <w:spacing w:before="80" w:after="80"/>
        <w:ind w:left="567"/>
        <w:shd w:val="clear" w:color="auto" w:fill="F2F2F2"/>
      </w:pPr>
      <w:r>
        <w:rPr>
          <w:rFonts w:ascii="Courier New" w:hAnsi="Courier New"/>
          <w:color w:val="202020"/>
          <w:sz w:val="18"/>
        </w:rPr>
        <w:t>SoftDeleteModel (is_deleted, métodos soft/hard delete)</w:t>
        <w:br/>
        <w:t xml:space="preserve">    └── MuestraBase</w:t>
        <w:br/>
        <w:t xml:space="preserve">    └── ImagenBase</w:t>
        <w:br/>
        <w:br/>
        <w:t>DetalleBase / RegistroBase (campos comunes a todos los registros)</w:t>
        <w:br/>
        <w:t xml:space="preserve">    └── RegistroConInforme (descripción microscópica, diagnóstico final...)</w:t>
      </w:r>
    </w:p>
    <w:p>
      <w:pPr>
        <w:spacing w:before="280" w:after="80"/>
      </w:pPr>
      <w:r>
        <w:rPr>
          <w:b/>
          <w:color w:val="1F497D"/>
          <w:sz w:val="26"/>
        </w:rPr>
        <w:t>5.2 Tipos de Muestra (6 workflows)</w:t>
      </w:r>
    </w:p>
    <w:p>
      <w:pPr>
        <w:spacing w:after="120"/>
      </w:pPr>
      <w:r>
        <w:t>Cada tipo sigue el mismo patrón de tres niveles: Registro principal → Sub-muestra → Imagen.</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01"/>
            <w:shd w:val="clear" w:color="auto" w:fill="2E74B5"/>
          </w:tcPr>
          <w:p>
            <w:r>
              <w:rPr>
                <w:b/>
                <w:color w:val="FFFFFF"/>
              </w:rPr>
              <w:t>Tipo</w:t>
            </w:r>
          </w:p>
        </w:tc>
        <w:tc>
          <w:tcPr>
            <w:tcW w:type="dxa" w:w="1984"/>
            <w:shd w:val="clear" w:color="auto" w:fill="2E74B5"/>
          </w:tcPr>
          <w:p>
            <w:r>
              <w:rPr>
                <w:b/>
                <w:color w:val="FFFFFF"/>
              </w:rPr>
              <w:t>Registro principal</w:t>
            </w:r>
          </w:p>
        </w:tc>
        <w:tc>
          <w:tcPr>
            <w:tcW w:type="dxa" w:w="2551"/>
            <w:shd w:val="clear" w:color="auto" w:fill="2E74B5"/>
          </w:tcPr>
          <w:p>
            <w:r>
              <w:rPr>
                <w:b/>
                <w:color w:val="FFFFFF"/>
              </w:rPr>
              <w:t>Sub-muestra</w:t>
            </w:r>
          </w:p>
        </w:tc>
        <w:tc>
          <w:tcPr>
            <w:tcW w:type="dxa" w:w="2551"/>
            <w:shd w:val="clear" w:color="auto" w:fill="2E74B5"/>
          </w:tcPr>
          <w:p>
            <w:r>
              <w:rPr>
                <w:b/>
                <w:color w:val="FFFFFF"/>
              </w:rPr>
              <w:t>Imagen</w:t>
            </w:r>
          </w:p>
        </w:tc>
        <w:tc>
          <w:tcPr>
            <w:tcW w:type="dxa" w:w="1417"/>
            <w:shd w:val="clear" w:color="auto" w:fill="2E74B5"/>
          </w:tcPr>
          <w:p>
            <w:r>
              <w:rPr>
                <w:b/>
                <w:color w:val="FFFFFF"/>
              </w:rPr>
              <w:t>Prefijo QR</w:t>
            </w:r>
          </w:p>
        </w:tc>
      </w:tr>
      <w:tr>
        <w:tc>
          <w:tcPr>
            <w:tcW w:type="dxa" w:w="1701"/>
          </w:tcPr>
          <w:p>
            <w:r>
              <w:t>Histología</w:t>
            </w:r>
          </w:p>
        </w:tc>
        <w:tc>
          <w:tcPr>
            <w:tcW w:type="dxa" w:w="1984"/>
          </w:tcPr>
          <w:p>
            <w:r>
              <w:t>Cassette</w:t>
            </w:r>
          </w:p>
        </w:tc>
        <w:tc>
          <w:tcPr>
            <w:tcW w:type="dxa" w:w="2551"/>
          </w:tcPr>
          <w:p>
            <w:r>
              <w:t>Muestra</w:t>
            </w:r>
          </w:p>
        </w:tc>
        <w:tc>
          <w:tcPr>
            <w:tcW w:type="dxa" w:w="2551"/>
          </w:tcPr>
          <w:p>
            <w:r>
              <w:t>Imagen</w:t>
            </w:r>
          </w:p>
        </w:tc>
        <w:tc>
          <w:tcPr>
            <w:tcW w:type="dxa" w:w="1417"/>
          </w:tcPr>
          <w:p>
            <w:r>
              <w:t>CS</w:t>
            </w:r>
          </w:p>
        </w:tc>
      </w:tr>
      <w:tr>
        <w:tc>
          <w:tcPr>
            <w:tcW w:type="dxa" w:w="1701"/>
          </w:tcPr>
          <w:p>
            <w:r>
              <w:t>Citología</w:t>
            </w:r>
          </w:p>
        </w:tc>
        <w:tc>
          <w:tcPr>
            <w:tcW w:type="dxa" w:w="1984"/>
          </w:tcPr>
          <w:p>
            <w:r>
              <w:t>Citologia</w:t>
            </w:r>
          </w:p>
        </w:tc>
        <w:tc>
          <w:tcPr>
            <w:tcW w:type="dxa" w:w="2551"/>
          </w:tcPr>
          <w:p>
            <w:r>
              <w:t>MuestraCitologia</w:t>
            </w:r>
          </w:p>
        </w:tc>
        <w:tc>
          <w:tcPr>
            <w:tcW w:type="dxa" w:w="2551"/>
          </w:tcPr>
          <w:p>
            <w:r>
              <w:t>ImagenCitologia</w:t>
            </w:r>
          </w:p>
        </w:tc>
        <w:tc>
          <w:tcPr>
            <w:tcW w:type="dxa" w:w="1417"/>
          </w:tcPr>
          <w:p>
            <w:r>
              <w:t>CI</w:t>
            </w:r>
          </w:p>
        </w:tc>
      </w:tr>
      <w:tr>
        <w:tc>
          <w:tcPr>
            <w:tcW w:type="dxa" w:w="1701"/>
          </w:tcPr>
          <w:p>
            <w:r>
              <w:t>Necropsia</w:t>
            </w:r>
          </w:p>
        </w:tc>
        <w:tc>
          <w:tcPr>
            <w:tcW w:type="dxa" w:w="1984"/>
          </w:tcPr>
          <w:p>
            <w:r>
              <w:t>Necropsia</w:t>
            </w:r>
          </w:p>
        </w:tc>
        <w:tc>
          <w:tcPr>
            <w:tcW w:type="dxa" w:w="2551"/>
          </w:tcPr>
          <w:p>
            <w:r>
              <w:t>MuestraNecropsia</w:t>
            </w:r>
          </w:p>
        </w:tc>
        <w:tc>
          <w:tcPr>
            <w:tcW w:type="dxa" w:w="2551"/>
          </w:tcPr>
          <w:p>
            <w:r>
              <w:t>ImagenNecropsia</w:t>
            </w:r>
          </w:p>
        </w:tc>
        <w:tc>
          <w:tcPr>
            <w:tcW w:type="dxa" w:w="1417"/>
          </w:tcPr>
          <w:p>
            <w:r>
              <w:t>NC</w:t>
            </w:r>
          </w:p>
        </w:tc>
      </w:tr>
      <w:tr>
        <w:tc>
          <w:tcPr>
            <w:tcW w:type="dxa" w:w="1701"/>
          </w:tcPr>
          <w:p>
            <w:r>
              <w:t>Tubo/Tejido</w:t>
            </w:r>
          </w:p>
        </w:tc>
        <w:tc>
          <w:tcPr>
            <w:tcW w:type="dxa" w:w="1984"/>
          </w:tcPr>
          <w:p>
            <w:r>
              <w:t>Tubo</w:t>
            </w:r>
          </w:p>
        </w:tc>
        <w:tc>
          <w:tcPr>
            <w:tcW w:type="dxa" w:w="2551"/>
          </w:tcPr>
          <w:p>
            <w:r>
              <w:t>MuestraTubo</w:t>
            </w:r>
          </w:p>
        </w:tc>
        <w:tc>
          <w:tcPr>
            <w:tcW w:type="dxa" w:w="2551"/>
          </w:tcPr>
          <w:p>
            <w:r>
              <w:t>ImagenTubo</w:t>
            </w:r>
          </w:p>
        </w:tc>
        <w:tc>
          <w:tcPr>
            <w:tcW w:type="dxa" w:w="1417"/>
          </w:tcPr>
          <w:p>
            <w:r>
              <w:t>TB</w:t>
            </w:r>
          </w:p>
        </w:tc>
      </w:tr>
      <w:tr>
        <w:tc>
          <w:tcPr>
            <w:tcW w:type="dxa" w:w="1701"/>
          </w:tcPr>
          <w:p>
            <w:r>
              <w:t>Hematología</w:t>
            </w:r>
          </w:p>
        </w:tc>
        <w:tc>
          <w:tcPr>
            <w:tcW w:type="dxa" w:w="1984"/>
          </w:tcPr>
          <w:p>
            <w:r>
              <w:t>Hematologia</w:t>
            </w:r>
          </w:p>
        </w:tc>
        <w:tc>
          <w:tcPr>
            <w:tcW w:type="dxa" w:w="2551"/>
          </w:tcPr>
          <w:p>
            <w:r>
              <w:t>MuestraHematologia</w:t>
            </w:r>
          </w:p>
        </w:tc>
        <w:tc>
          <w:tcPr>
            <w:tcW w:type="dxa" w:w="2551"/>
          </w:tcPr>
          <w:p>
            <w:r>
              <w:t>ImagenHematologia</w:t>
            </w:r>
          </w:p>
        </w:tc>
        <w:tc>
          <w:tcPr>
            <w:tcW w:type="dxa" w:w="1417"/>
          </w:tcPr>
          <w:p>
            <w:r>
              <w:t>HM</w:t>
            </w:r>
          </w:p>
        </w:tc>
      </w:tr>
      <w:tr>
        <w:tc>
          <w:tcPr>
            <w:tcW w:type="dxa" w:w="1701"/>
          </w:tcPr>
          <w:p>
            <w:r>
              <w:t>Microbiología</w:t>
            </w:r>
          </w:p>
        </w:tc>
        <w:tc>
          <w:tcPr>
            <w:tcW w:type="dxa" w:w="1984"/>
          </w:tcPr>
          <w:p>
            <w:r>
              <w:t>Microbiologia</w:t>
            </w:r>
          </w:p>
        </w:tc>
        <w:tc>
          <w:tcPr>
            <w:tcW w:type="dxa" w:w="2551"/>
          </w:tcPr>
          <w:p>
            <w:r>
              <w:t>MuestraMicrobiologia</w:t>
            </w:r>
          </w:p>
        </w:tc>
        <w:tc>
          <w:tcPr>
            <w:tcW w:type="dxa" w:w="2551"/>
          </w:tcPr>
          <w:p>
            <w:r>
              <w:t>ImagenMicrobiologia</w:t>
            </w:r>
          </w:p>
        </w:tc>
        <w:tc>
          <w:tcPr>
            <w:tcW w:type="dxa" w:w="1417"/>
          </w:tcPr>
          <w:p>
            <w:r>
              <w:t>MC</w:t>
            </w:r>
          </w:p>
        </w:tc>
      </w:tr>
    </w:tbl>
    <w:p/>
    <w:p>
      <w:pPr>
        <w:spacing w:before="280" w:after="80"/>
      </w:pPr>
      <w:r>
        <w:rPr>
          <w:b/>
          <w:color w:val="1F497D"/>
          <w:sz w:val="26"/>
        </w:rPr>
        <w:t>5.3 Modelos de Soporte</w:t>
      </w:r>
    </w:p>
    <w:p>
      <w:pPr>
        <w:spacing w:before="280" w:after="80"/>
      </w:pPr>
      <w:r>
        <w:rPr>
          <w:b/>
          <w:i/>
          <w:color w:val="404040"/>
          <w:sz w:val="22"/>
        </w:rPr>
        <w:t>Tecnico — Modelo de usuario personalizado</w:t>
      </w:r>
    </w:p>
    <w:p>
      <w:pPr>
        <w:spacing w:after="120"/>
      </w:pPr>
      <w:r>
        <w:t>Extiende AbstractBaseUser con autenticación basada en email (sin campo username). Los roles disponibles son: profesor, anatomia_patologica y laboratorio. Se establece como AUTH_USER_MODEL en settings.py.</w:t>
      </w:r>
    </w:p>
    <w:p>
      <w:pPr>
        <w:spacing w:before="280" w:after="80"/>
      </w:pPr>
      <w:r>
        <w:rPr>
          <w:b/>
          <w:i/>
          <w:color w:val="404040"/>
          <w:sz w:val="22"/>
        </w:rPr>
        <w:t>CatalogoOpcion — Opciones dinámicas de formulario</w:t>
      </w:r>
    </w:p>
    <w:p>
      <w:pPr>
        <w:spacing w:after="120"/>
      </w:pPr>
      <w:r>
        <w:t>Almacena las opciones de los desplegables (órgano, tinción, tipo de citología, tipo de autopsia, análisis de informe). Permite al administrador añadir o retirar opciones desde el panel de Django Admin sin modificar código.</w:t>
      </w:r>
    </w:p>
    <w:p>
      <w:pPr>
        <w:spacing w:before="280" w:after="80"/>
      </w:pPr>
      <w:r>
        <w:rPr>
          <w:b/>
          <w:i/>
          <w:color w:val="404040"/>
          <w:sz w:val="22"/>
        </w:rPr>
        <w:t>InformeResultado — Informe de resultados genérico</w:t>
      </w:r>
    </w:p>
    <w:p>
      <w:pPr>
        <w:spacing w:after="120"/>
      </w:pPr>
      <w:r>
        <w:t>Usa el framework de ContentTypes de Django (GenericForeignKey) para poder vincularse a cualquier tipo de muestra sin necesidad de tablas adicionales. Soporta imagen adjunta y campo de tinción.</w:t>
      </w:r>
    </w:p>
    <w:p>
      <w:pPr>
        <w:spacing w:before="280" w:after="80"/>
      </w:pPr>
      <w:r>
        <w:rPr>
          <w:b/>
          <w:color w:val="1F497D"/>
          <w:sz w:val="26"/>
        </w:rPr>
        <w:t>5.4 Sistema de Soft Delete</w:t>
      </w:r>
    </w:p>
    <w:p>
      <w:pPr>
        <w:spacing w:after="120"/>
      </w:pPr>
      <w:r>
        <w:t>Las sub-muestras e imágenes implementan borrado lógico en lugar de eliminar filas de la BD. Esto garantiza la trazabilidad de los datos y permite recuperar registros eliminados por error.</w:t>
      </w:r>
    </w:p>
    <w:p>
      <w:pPr>
        <w:pStyle w:val="ListBullet"/>
        <w:spacing w:after="40"/>
      </w:pPr>
      <w:r>
        <w:t>muestra.delete() → marca is_deleted=True y propaga en cascada a los hijos.</w:t>
      </w:r>
    </w:p>
    <w:p>
      <w:pPr>
        <w:pStyle w:val="ListBullet"/>
        <w:spacing w:after="40"/>
      </w:pPr>
      <w:r>
        <w:t>muestra.hard_delete() → eliminación física irreversible (solo administración).</w:t>
      </w:r>
    </w:p>
    <w:p>
      <w:pPr>
        <w:pStyle w:val="ListBullet"/>
        <w:spacing w:after="40"/>
      </w:pPr>
      <w:r>
        <w:t>muestra.restore() → recupera un registro borrado lógicamente.</w:t>
      </w:r>
    </w:p>
    <w:p>
      <w:pPr>
        <w:pStyle w:val="ListBullet"/>
        <w:spacing w:after="40"/>
      </w:pPr>
      <w:r>
        <w:t>El manager por defecto filtra automáticamente los registros borrados.</w:t>
      </w:r>
    </w:p>
    <w:p>
      <w:pPr>
        <w:pStyle w:val="ListBullet"/>
        <w:spacing w:after="40"/>
      </w:pPr>
      <w:r>
        <w:t>all_objects expone todos los registros, incluidos los borrados.</w:t>
      </w:r>
    </w:p>
    <w:p>
      <w:pPr>
        <w:spacing w:before="280" w:after="80"/>
      </w:pPr>
      <w:r>
        <w:rPr>
          <w:b/>
          <w:color w:val="2E74B5"/>
          <w:sz w:val="32"/>
        </w:rPr>
        <w:t>6. Sistema de QR</w:t>
      </w:r>
    </w:p>
    <w:p>
      <w:pPr>
        <w:spacing w:before="40" w:after="40"/>
        <w:pBdr>
          <w:bottom w:val="single" w:sz="6" w:space="1" w:color="2E74B5"/>
        </w:pBdr>
      </w:pPr>
    </w:p>
    <w:p>
      <w:pPr>
        <w:spacing w:after="120"/>
      </w:pPr>
      <w:r>
        <w:t>Cada registro principal recibe un código QR único en el momento de su creación. El formato es un prefijo de dos letras seguido de 12 caracteres aleatorios del UUID:</w:t>
      </w:r>
    </w:p>
    <w:p>
      <w:pPr>
        <w:spacing w:before="80" w:after="80"/>
        <w:ind w:left="567"/>
        <w:shd w:val="clear" w:color="auto" w:fill="F2F2F2"/>
      </w:pPr>
      <w:r>
        <w:rPr>
          <w:rFonts w:ascii="Courier New" w:hAnsi="Courier New"/>
          <w:color w:val="202020"/>
          <w:sz w:val="18"/>
        </w:rPr>
        <w:t>Formato:  PREFIX + UUID_12_chars</w:t>
        <w:br/>
        <w:t>Ejemplo:  CS3a7f2b91de04</w:t>
      </w:r>
    </w:p>
    <w:p>
      <w:pPr>
        <w:spacing w:after="120"/>
      </w:pPr>
      <w:r>
        <w:t>El campo qr_* tiene restricción UNIQUE en base de datos. El sistema reintenta la generación hasta 50 veces para evitar colisiones. El endpoint /qr/resolver/?qr=&lt;codigo&gt; detecta el tipo por el prefijo y redirige al detalle del registro correspondiente.</w:t>
      </w:r>
    </w:p>
    <w:p>
      <w:pPr>
        <w:spacing w:before="280" w:after="80"/>
      </w:pPr>
      <w:r>
        <w:rPr>
          <w:b/>
          <w:color w:val="2E74B5"/>
          <w:sz w:val="32"/>
        </w:rPr>
        <w:t>7. API REST</w:t>
      </w:r>
    </w:p>
    <w:p>
      <w:pPr>
        <w:spacing w:before="40" w:after="40"/>
        <w:pBdr>
          <w:bottom w:val="single" w:sz="6" w:space="1" w:color="2E74B5"/>
        </w:pBdr>
      </w:pPr>
    </w:p>
    <w:p>
      <w:pPr>
        <w:spacing w:before="280" w:after="80"/>
      </w:pPr>
      <w:r>
        <w:rPr>
          <w:b/>
          <w:color w:val="1F497D"/>
          <w:sz w:val="26"/>
        </w:rPr>
        <w:t>7.1 Autenticación</w:t>
      </w:r>
    </w:p>
    <w:p>
      <w:pPr>
        <w:spacing w:after="120"/>
      </w:pPr>
      <w:r>
        <w:t>La API utiliza autenticación de sesión de Django (mismas cookies que el frontend web). No implementa tokens JWT ni OAuth en la versión actual.</w:t>
      </w:r>
    </w:p>
    <w:p>
      <w:pPr>
        <w:spacing w:before="280" w:after="80"/>
      </w:pPr>
      <w:r>
        <w:rPr>
          <w:b/>
          <w:color w:val="1F497D"/>
          <w:sz w:val="26"/>
        </w:rPr>
        <w:t>7.2 Endpoints Principales</w:t>
      </w:r>
    </w:p>
    <w:p>
      <w:pPr>
        <w:spacing w:after="120"/>
      </w:pPr>
      <w:r>
        <w:t>Todos los endpoints se gestionan bajo el prefijo /api/ mediante DefaultRouter de DRF:</w:t>
      </w:r>
    </w:p>
    <w:p>
      <w:pPr>
        <w:spacing w:before="80" w:after="80"/>
        <w:ind w:left="567"/>
        <w:shd w:val="clear" w:color="auto" w:fill="F2F2F2"/>
      </w:pPr>
      <w:r>
        <w:rPr>
          <w:rFonts w:ascii="Courier New" w:hAnsi="Courier New"/>
          <w:color w:val="202020"/>
          <w:sz w:val="18"/>
        </w:rPr>
        <w:t>/api/tecnicos/</w:t>
        <w:br/>
        <w:t>/api/cassettes/</w:t>
        <w:br/>
        <w:t>/api/muestras/</w:t>
        <w:br/>
        <w:t>/api/imagenes/</w:t>
        <w:br/>
        <w:t>/api/citologias/</w:t>
        <w:br/>
        <w:t>/api/muestrascitologia/</w:t>
        <w:br/>
        <w:t>/api/imagenescitologia/</w:t>
        <w:br/>
        <w:t>/api/necropsias/</w:t>
        <w:br/>
        <w:t>/api/muestrasnecropsia/</w:t>
        <w:br/>
        <w:t>/api/imagenesnecropsia/</w:t>
        <w:br/>
        <w:t>/api/tubos/  /api/muestrastubo/  /api/imagenestubo/</w:t>
        <w:br/>
        <w:t>/api/hematologia/  /api/muestrashematologia/  /api/imageneshematologia/</w:t>
        <w:br/>
        <w:t>/api/microbiologias/  /api/muestrasmicrobiologia/  /api/imagenesmicrobiologia/</w:t>
        <w:br/>
        <w:t>/api/informesresultado/</w:t>
        <w:br/>
        <w:t>/api/archivo/&lt;modelo&gt;/&lt;pk&gt;/&lt;campo&gt;/   ← proxy de ficheros binarios</w:t>
      </w:r>
    </w:p>
    <w:p>
      <w:pPr>
        <w:spacing w:before="280" w:after="80"/>
      </w:pPr>
      <w:r>
        <w:rPr>
          <w:b/>
          <w:color w:val="1F497D"/>
          <w:sz w:val="26"/>
        </w:rPr>
        <w:t>7.3 Acciones Personalizadas en ViewSets</w:t>
      </w:r>
    </w:p>
    <w:tbl>
      <w:tblPr>
        <w:tblStyle w:val="TableGrid"/>
        <w:tblW w:type="auto" w:w="0"/>
        <w:jc w:val="left"/>
        <w:tblLook w:firstColumn="1" w:firstRow="1" w:lastColumn="0" w:lastRow="0" w:noHBand="0" w:noVBand="1" w:val="04A0"/>
      </w:tblPr>
      <w:tblGrid>
        <w:gridCol w:w="2880"/>
        <w:gridCol w:w="2880"/>
        <w:gridCol w:w="2880"/>
      </w:tblGrid>
      <w:tr>
        <w:tc>
          <w:tcPr>
            <w:tcW w:type="dxa" w:w="2551"/>
            <w:shd w:val="clear" w:color="auto" w:fill="2E74B5"/>
          </w:tcPr>
          <w:p>
            <w:r>
              <w:rPr>
                <w:b/>
                <w:color w:val="FFFFFF"/>
              </w:rPr>
              <w:t>Acción</w:t>
            </w:r>
          </w:p>
        </w:tc>
        <w:tc>
          <w:tcPr>
            <w:tcW w:type="dxa" w:w="1701"/>
            <w:shd w:val="clear" w:color="auto" w:fill="2E74B5"/>
          </w:tcPr>
          <w:p>
            <w:r>
              <w:rPr>
                <w:b/>
                <w:color w:val="FFFFFF"/>
              </w:rPr>
              <w:t>Método HTTP</w:t>
            </w:r>
          </w:p>
        </w:tc>
        <w:tc>
          <w:tcPr>
            <w:tcW w:type="dxa" w:w="5953"/>
            <w:shd w:val="clear" w:color="auto" w:fill="2E74B5"/>
          </w:tcPr>
          <w:p>
            <w:r>
              <w:rPr>
                <w:b/>
                <w:color w:val="FFFFFF"/>
              </w:rPr>
              <w:t>Descripción</w:t>
            </w:r>
          </w:p>
        </w:tc>
      </w:tr>
      <w:tr>
        <w:tc>
          <w:tcPr>
            <w:tcW w:type="dxa" w:w="2551"/>
          </w:tcPr>
          <w:p>
            <w:r>
              <w:t>actualizar_informe</w:t>
            </w:r>
          </w:p>
        </w:tc>
        <w:tc>
          <w:tcPr>
            <w:tcW w:type="dxa" w:w="1701"/>
          </w:tcPr>
          <w:p>
            <w:r>
              <w:t>POST</w:t>
            </w:r>
          </w:p>
        </w:tc>
        <w:tc>
          <w:tcPr>
            <w:tcW w:type="dxa" w:w="5953"/>
          </w:tcPr>
          <w:p>
            <w:r>
              <w:t>Actualiza campos de informe e imagen del registro</w:t>
            </w:r>
          </w:p>
        </w:tc>
      </w:tr>
      <w:tr>
        <w:tc>
          <w:tcPr>
            <w:tcW w:type="dxa" w:w="2551"/>
          </w:tcPr>
          <w:p>
            <w:r>
              <w:t>get_by_mail (Tecnico)</w:t>
            </w:r>
          </w:p>
        </w:tc>
        <w:tc>
          <w:tcPr>
            <w:tcW w:type="dxa" w:w="1701"/>
          </w:tcPr>
          <w:p>
            <w:r>
              <w:t>GET</w:t>
            </w:r>
          </w:p>
        </w:tc>
        <w:tc>
          <w:tcPr>
            <w:tcW w:type="dxa" w:w="5953"/>
          </w:tcPr>
          <w:p>
            <w:r>
              <w:t>Busca usuario por email</w:t>
            </w:r>
          </w:p>
        </w:tc>
      </w:tr>
      <w:tr>
        <w:tc>
          <w:tcPr>
            <w:tcW w:type="dxa" w:w="2551"/>
          </w:tcPr>
          <w:p>
            <w:r>
              <w:t>exist (Tecnico)</w:t>
            </w:r>
          </w:p>
        </w:tc>
        <w:tc>
          <w:tcPr>
            <w:tcW w:type="dxa" w:w="1701"/>
          </w:tcPr>
          <w:p>
            <w:r>
              <w:t>GET</w:t>
            </w:r>
          </w:p>
        </w:tc>
        <w:tc>
          <w:tcPr>
            <w:tcW w:type="dxa" w:w="5953"/>
          </w:tcPr>
          <w:p>
            <w:r>
              <w:t>Comprueba si un email ya existe</w:t>
            </w:r>
          </w:p>
        </w:tc>
      </w:tr>
      <w:tr>
        <w:tc>
          <w:tcPr>
            <w:tcW w:type="dxa" w:w="2551"/>
          </w:tcPr>
          <w:p>
            <w:r>
              <w:t>auth (Tecnico)</w:t>
            </w:r>
          </w:p>
        </w:tc>
        <w:tc>
          <w:tcPr>
            <w:tcW w:type="dxa" w:w="1701"/>
          </w:tcPr>
          <w:p>
            <w:r>
              <w:t>POST</w:t>
            </w:r>
          </w:p>
        </w:tc>
        <w:tc>
          <w:tcPr>
            <w:tcW w:type="dxa" w:w="5953"/>
          </w:tcPr>
          <w:p>
            <w:r>
              <w:t>Autentica credenciales de usuario</w:t>
            </w:r>
          </w:p>
        </w:tc>
      </w:tr>
    </w:tbl>
    <w:p/>
    <w:p>
      <w:pPr>
        <w:spacing w:before="280" w:after="80"/>
      </w:pPr>
      <w:r>
        <w:rPr>
          <w:b/>
          <w:color w:val="1F497D"/>
          <w:sz w:val="26"/>
        </w:rPr>
        <w:t>7.4 Proxy de Ficheros (/api/archivo/)</w:t>
      </w:r>
    </w:p>
    <w:p>
      <w:pPr>
        <w:spacing w:after="120"/>
      </w:pPr>
      <w:r>
        <w:t>Los ficheros binarios almacenados en la BD se sirven a través de este endpoint. Recibe modelo, pk y campo como parámetros de URL, valida el campo contra una lista blanca, detecta el tipo MIME leyendo los magic bytes del fichero y devuelve el binario con el Content-Type adecuado.</w:t>
      </w:r>
    </w:p>
    <w:p>
      <w:pPr>
        <w:spacing w:before="280" w:after="80"/>
      </w:pPr>
      <w:r>
        <w:rPr>
          <w:b/>
          <w:color w:val="1F497D"/>
          <w:sz w:val="26"/>
        </w:rPr>
        <w:t>7.5 Paginación</w:t>
      </w:r>
    </w:p>
    <w:p>
      <w:pPr>
        <w:spacing w:after="120"/>
      </w:pPr>
      <w:r>
        <w:t>Configurada globalmente: PageNumberPagination con 50 registros por página.</w:t>
      </w:r>
    </w:p>
    <w:p>
      <w:pPr>
        <w:spacing w:before="280" w:after="80"/>
      </w:pPr>
      <w:r>
        <w:rPr>
          <w:b/>
          <w:color w:val="2E74B5"/>
          <w:sz w:val="32"/>
        </w:rPr>
        <w:t>8. Interfaz Web</w:t>
      </w:r>
    </w:p>
    <w:p>
      <w:pPr>
        <w:spacing w:before="40" w:after="40"/>
        <w:pBdr>
          <w:bottom w:val="single" w:sz="6" w:space="1" w:color="2E74B5"/>
        </w:pBdr>
      </w:pPr>
    </w:p>
    <w:p>
      <w:pPr>
        <w:spacing w:before="280" w:after="80"/>
      </w:pPr>
      <w:r>
        <w:rPr>
          <w:b/>
          <w:color w:val="1F497D"/>
          <w:sz w:val="26"/>
        </w:rPr>
        <w:t>8.1 Autenticación</w:t>
      </w:r>
    </w:p>
    <w:p>
      <w:pPr>
        <w:pStyle w:val="ListBullet"/>
        <w:spacing w:after="40"/>
      </w:pPr>
      <w:r>
        <w:t>Login por email y contraseña en /login/</w:t>
      </w:r>
    </w:p>
    <w:p>
      <w:pPr>
        <w:pStyle w:val="ListBullet"/>
        <w:spacing w:after="40"/>
      </w:pPr>
      <w:r>
        <w:t>Sesiones gestionadas por Django</w:t>
      </w:r>
    </w:p>
    <w:p>
      <w:pPr>
        <w:pStyle w:val="ListBullet"/>
        <w:spacing w:after="40"/>
      </w:pPr>
      <w:r>
        <w:t>@login_required sobre todas las vistas protegidas</w:t>
      </w:r>
    </w:p>
    <w:p>
      <w:pPr>
        <w:pStyle w:val="ListBullet"/>
        <w:spacing w:after="40"/>
      </w:pPr>
      <w:r>
        <w:t>Logout vía POST en /logout/</w:t>
      </w:r>
    </w:p>
    <w:p>
      <w:pPr>
        <w:spacing w:before="280" w:after="80"/>
      </w:pPr>
      <w:r>
        <w:rPr>
          <w:b/>
          <w:color w:val="1F497D"/>
          <w:sz w:val="26"/>
        </w:rPr>
        <w:t>8.2 Control de Acceso por Rol (Middleware)</w:t>
      </w:r>
    </w:p>
    <w:p>
      <w:pPr>
        <w:spacing w:after="120"/>
      </w:pPr>
      <w:r>
        <w:t>RolAccesoMiddleware intercepta cada petición antes de que llegue a la vista y verifica que el rol del usuario tenga permiso para acceder a la URL solicitada.</w:t>
      </w:r>
    </w:p>
    <w:tbl>
      <w:tblPr>
        <w:tblStyle w:val="TableGrid"/>
        <w:tblW w:type="auto" w:w="0"/>
        <w:jc w:val="left"/>
        <w:tblLook w:firstColumn="1" w:firstRow="1" w:lastColumn="0" w:lastRow="0" w:noHBand="0" w:noVBand="1" w:val="04A0"/>
      </w:tblPr>
      <w:tblGrid>
        <w:gridCol w:w="4320"/>
        <w:gridCol w:w="4320"/>
      </w:tblGrid>
      <w:tr>
        <w:tc>
          <w:tcPr>
            <w:tcW w:type="dxa" w:w="2835"/>
            <w:shd w:val="clear" w:color="auto" w:fill="2E74B5"/>
          </w:tcPr>
          <w:p>
            <w:r>
              <w:rPr>
                <w:b/>
                <w:color w:val="FFFFFF"/>
              </w:rPr>
              <w:t>Rol</w:t>
            </w:r>
          </w:p>
        </w:tc>
        <w:tc>
          <w:tcPr>
            <w:tcW w:type="dxa" w:w="7370"/>
            <w:shd w:val="clear" w:color="auto" w:fill="2E74B5"/>
          </w:tcPr>
          <w:p>
            <w:r>
              <w:rPr>
                <w:b/>
                <w:color w:val="FFFFFF"/>
              </w:rPr>
              <w:t>Acceso permitido</w:t>
            </w:r>
          </w:p>
        </w:tc>
      </w:tr>
      <w:tr>
        <w:tc>
          <w:tcPr>
            <w:tcW w:type="dxa" w:w="2835"/>
          </w:tcPr>
          <w:p>
            <w:r>
              <w:t>profesor</w:t>
            </w:r>
          </w:p>
        </w:tc>
        <w:tc>
          <w:tcPr>
            <w:tcW w:type="dxa" w:w="7370"/>
          </w:tcPr>
          <w:p>
            <w:r>
              <w:t>Todo el sistema (acceso completo + staff)</w:t>
            </w:r>
          </w:p>
        </w:tc>
      </w:tr>
      <w:tr>
        <w:tc>
          <w:tcPr>
            <w:tcW w:type="dxa" w:w="2835"/>
          </w:tcPr>
          <w:p>
            <w:r>
              <w:t>anatomia_patologica</w:t>
            </w:r>
          </w:p>
        </w:tc>
        <w:tc>
          <w:tcPr>
            <w:tcW w:type="dxa" w:w="7370"/>
          </w:tcPr>
          <w:p>
            <w:r>
              <w:t>Solo cassettes, citologías y necropsias</w:t>
            </w:r>
          </w:p>
        </w:tc>
      </w:tr>
      <w:tr>
        <w:tc>
          <w:tcPr>
            <w:tcW w:type="dxa" w:w="2835"/>
          </w:tcPr>
          <w:p>
            <w:r>
              <w:t>laboratorio</w:t>
            </w:r>
          </w:p>
        </w:tc>
        <w:tc>
          <w:tcPr>
            <w:tcW w:type="dxa" w:w="7370"/>
          </w:tcPr>
          <w:p>
            <w:r>
              <w:t>Solo hematología, microbiología y bioquímica</w:t>
            </w:r>
          </w:p>
        </w:tc>
      </w:tr>
    </w:tbl>
    <w:p/>
    <w:p>
      <w:pPr>
        <w:spacing w:after="120"/>
      </w:pPr>
      <w:r>
        <w:t>Los intentos de acceso no autorizado redirigen a /index.html con un mensaje de error informativo.</w:t>
      </w:r>
    </w:p>
    <w:p>
      <w:pPr>
        <w:spacing w:before="280" w:after="80"/>
      </w:pPr>
      <w:r>
        <w:rPr>
          <w:b/>
          <w:color w:val="1F497D"/>
          <w:sz w:val="26"/>
        </w:rPr>
        <w:t>8.3 Gestión de Ficheros Binarios</w:t>
      </w:r>
    </w:p>
    <w:p>
      <w:pPr>
        <w:spacing w:after="120"/>
      </w:pPr>
      <w:r>
        <w:t>Las imágenes de muestras, volantes de petición e informes se almacenan como BinaryField en la base de datos, no en el sistema de ficheros. Esto simplifica los backups y elimina inconsistencias entre BD y disco.</w:t>
      </w:r>
    </w:p>
    <w:p>
      <w:pPr>
        <w:spacing w:after="120"/>
      </w:pPr>
      <w:r>
        <w:t>Flujo de subida:</w:t>
      </w:r>
    </w:p>
    <w:p>
      <w:pPr>
        <w:pStyle w:val="ListBullet"/>
        <w:spacing w:after="40"/>
      </w:pPr>
      <w:r>
        <w:t>El usuario sube el fichero mediante un formulario multipart.</w:t>
      </w:r>
    </w:p>
    <w:p>
      <w:pPr>
        <w:pStyle w:val="ListBullet"/>
        <w:spacing w:after="40"/>
      </w:pPr>
      <w:r>
        <w:t>_leer_imagen_bytes() extrae los bytes del InMemoryUploadedFile.</w:t>
      </w:r>
    </w:p>
    <w:p>
      <w:pPr>
        <w:pStyle w:val="ListBullet"/>
        <w:spacing w:after="40"/>
      </w:pPr>
      <w:r>
        <w:t>Se persisten en el campo BinaryField del modelo correspondiente.</w:t>
      </w:r>
    </w:p>
    <w:p>
      <w:pPr>
        <w:pStyle w:val="ListBullet"/>
        <w:spacing w:after="40"/>
      </w:pPr>
      <w:r>
        <w:t>Para mostrarlos en el navegador se convierten a base64 con _imagen_bytes_a_base64().</w:t>
      </w:r>
    </w:p>
    <w:p>
      <w:pPr>
        <w:spacing w:before="280" w:after="80"/>
      </w:pPr>
      <w:r>
        <w:rPr>
          <w:b/>
          <w:color w:val="1F497D"/>
          <w:sz w:val="26"/>
        </w:rPr>
        <w:t>8.4 Plantillas y AJAX</w:t>
      </w:r>
    </w:p>
    <w:p>
      <w:pPr>
        <w:spacing w:after="120"/>
      </w:pPr>
      <w:r>
        <w:t>Las plantillas implementan operaciones CRUD parciales sin recarga de página mediante llamadas AJAX (fetch embebido en el HTML). Los formularios de sub-muestras e imágenes se envían de forma asíncrona y actualizan el DOM con la respuesta del servidor.</w:t>
      </w:r>
    </w:p>
    <w:p>
      <w:pPr>
        <w:spacing w:after="120"/>
      </w:pPr>
      <w:r>
        <w:t>Los partiales reutilizables (_cassette_fields.html, _citologia_fields.html, etc.) centralizan el markup de campos para evitar duplicación entre formularios de creación y edición.</w:t>
      </w:r>
    </w:p>
    <w:p>
      <w:pPr>
        <w:spacing w:before="280" w:after="80"/>
      </w:pPr>
      <w:r>
        <w:rPr>
          <w:b/>
          <w:color w:val="2E74B5"/>
          <w:sz w:val="32"/>
        </w:rPr>
        <w:t>9. Formularios</w:t>
      </w:r>
    </w:p>
    <w:p>
      <w:pPr>
        <w:spacing w:before="40" w:after="40"/>
        <w:pBdr>
          <w:bottom w:val="single" w:sz="6" w:space="1" w:color="2E74B5"/>
        </w:pBdr>
      </w:pPr>
    </w:p>
    <w:p>
      <w:pPr>
        <w:spacing w:after="120"/>
      </w:pPr>
      <w:r>
        <w:t>Los ModelForms de web/forms.py generan dinámicamente los campos ChoiceField consultando CatalogoOpcion en tiempo de instanciación. Si el catálogo está vacío, recurren a los valores distintos ya presentes en la BD como fallback, garantizando que los formularios siempre sean funcionales.</w:t>
      </w:r>
    </w:p>
    <w:p>
      <w:pPr>
        <w:spacing w:after="120"/>
      </w:pPr>
      <w:r>
        <w:t>Los órganos se agrupan por categoría usando optgroup en el HTML para mejorar la usabilidad cuando el catálogo tiene muchas entradas.</w:t>
      </w:r>
    </w:p>
    <w:p>
      <w:pPr>
        <w:spacing w:before="280" w:after="80"/>
      </w:pPr>
      <w:r>
        <w:rPr>
          <w:b/>
          <w:color w:val="2E74B5"/>
          <w:sz w:val="32"/>
        </w:rPr>
        <w:t>10. Serializers</w:t>
      </w:r>
    </w:p>
    <w:p>
      <w:pPr>
        <w:spacing w:before="40" w:after="40"/>
        <w:pBdr>
          <w:bottom w:val="single" w:sz="6" w:space="1" w:color="2E74B5"/>
        </w:pBdr>
      </w:pPr>
    </w:p>
    <w:p>
      <w:pPr>
        <w:spacing w:after="120"/>
      </w:pPr>
      <w:r>
        <w:t>api/serializers.py incluye dos mixins reutilizables:</w:t>
      </w:r>
    </w:p>
    <w:p>
      <w:pPr>
        <w:pStyle w:val="ListBullet"/>
        <w:spacing w:after="40"/>
      </w:pPr>
      <w:r>
        <w:t>QrUnicoValidatorMixin: valida que el valor del campo QR no exista en otra fila antes de crear/actualizar.</w:t>
      </w:r>
    </w:p>
    <w:p>
      <w:pPr>
        <w:pStyle w:val="ListBullet"/>
        <w:spacing w:after="40"/>
      </w:pPr>
      <w:r>
        <w:t>FileUrlSerializerMixin: genera URLs absolutas al endpoint proxy para los campos de fichero, evitando exponer rutas internas.</w:t>
      </w:r>
    </w:p>
    <w:p>
      <w:pPr>
        <w:spacing w:after="120"/>
      </w:pPr>
      <w:r>
        <w:t>Los serializers incluyen aliases de campos (id_muestra, muestra, tipo_muestra) para mantener compatibilidad con el cliente PHP legado. La función _validar_catalogo() verifica que los valores de organo, tincion, tipo_citologia y tipo_autopsia estén presentes en CatalogoOpcion antes de persistir.</w:t>
      </w:r>
    </w:p>
    <w:p>
      <w:pPr>
        <w:spacing w:before="280" w:after="80"/>
      </w:pPr>
      <w:r>
        <w:rPr>
          <w:b/>
          <w:color w:val="2E74B5"/>
          <w:sz w:val="32"/>
        </w:rPr>
        <w:t>11. Logging</w:t>
      </w:r>
    </w:p>
    <w:p>
      <w:pPr>
        <w:spacing w:before="40" w:after="40"/>
        <w:pBdr>
          <w:bottom w:val="single" w:sz="6" w:space="1" w:color="2E74B5"/>
        </w:pBdr>
      </w:pPr>
    </w:p>
    <w:tbl>
      <w:tblPr>
        <w:tblStyle w:val="TableGrid"/>
        <w:tblW w:type="auto" w:w="0"/>
        <w:jc w:val="left"/>
        <w:tblLook w:firstColumn="1" w:firstRow="1" w:lastColumn="0" w:lastRow="0" w:noHBand="0" w:noVBand="1" w:val="04A0"/>
      </w:tblPr>
      <w:tblGrid>
        <w:gridCol w:w="2880"/>
        <w:gridCol w:w="2880"/>
        <w:gridCol w:w="2880"/>
      </w:tblGrid>
      <w:tr>
        <w:tc>
          <w:tcPr>
            <w:tcW w:type="dxa" w:w="1701"/>
            <w:shd w:val="clear" w:color="auto" w:fill="2E74B5"/>
          </w:tcPr>
          <w:p>
            <w:r>
              <w:rPr>
                <w:b/>
                <w:color w:val="FFFFFF"/>
              </w:rPr>
              <w:t>Logger</w:t>
            </w:r>
          </w:p>
        </w:tc>
        <w:tc>
          <w:tcPr>
            <w:tcW w:type="dxa" w:w="3969"/>
            <w:shd w:val="clear" w:color="auto" w:fill="2E74B5"/>
          </w:tcPr>
          <w:p>
            <w:r>
              <w:rPr>
                <w:b/>
                <w:color w:val="FFFFFF"/>
              </w:rPr>
              <w:t>Destino</w:t>
            </w:r>
          </w:p>
        </w:tc>
        <w:tc>
          <w:tcPr>
            <w:tcW w:type="dxa" w:w="4535"/>
            <w:shd w:val="clear" w:color="auto" w:fill="2E74B5"/>
          </w:tcPr>
          <w:p>
            <w:r>
              <w:rPr>
                <w:b/>
                <w:color w:val="FFFFFF"/>
              </w:rPr>
              <w:t>Nivel configurable</w:t>
            </w:r>
          </w:p>
        </w:tc>
      </w:tr>
      <w:tr>
        <w:tc>
          <w:tcPr>
            <w:tcW w:type="dxa" w:w="1701"/>
          </w:tcPr>
          <w:p>
            <w:r>
              <w:t>api</w:t>
            </w:r>
          </w:p>
        </w:tc>
        <w:tc>
          <w:tcPr>
            <w:tcW w:type="dxa" w:w="3969"/>
          </w:tcPr>
          <w:p>
            <w:r>
              <w:t>Consola + logs/errors.log</w:t>
            </w:r>
          </w:p>
        </w:tc>
        <w:tc>
          <w:tcPr>
            <w:tcW w:type="dxa" w:w="4535"/>
          </w:tcPr>
          <w:p>
            <w:r>
              <w:t>Sí (DJANGO_LOG_LEVEL)</w:t>
            </w:r>
          </w:p>
        </w:tc>
      </w:tr>
      <w:tr>
        <w:tc>
          <w:tcPr>
            <w:tcW w:type="dxa" w:w="1701"/>
          </w:tcPr>
          <w:p>
            <w:r>
              <w:t>web</w:t>
            </w:r>
          </w:p>
        </w:tc>
        <w:tc>
          <w:tcPr>
            <w:tcW w:type="dxa" w:w="3969"/>
          </w:tcPr>
          <w:p>
            <w:r>
              <w:t>Consola + logs/errors.log</w:t>
            </w:r>
          </w:p>
        </w:tc>
        <w:tc>
          <w:tcPr>
            <w:tcW w:type="dxa" w:w="4535"/>
          </w:tcPr>
          <w:p>
            <w:r>
              <w:t>Sí (DJANGO_LOG_LEVEL)</w:t>
            </w:r>
          </w:p>
        </w:tc>
      </w:tr>
    </w:tbl>
    <w:p/>
    <w:p>
      <w:pPr>
        <w:spacing w:after="120"/>
      </w:pPr>
      <w:r>
        <w:t>El manejador de excepciones personalizado (api/exceptions.py) intercepta errores no controlados, los registra en el log y devuelve una respuesta JSON consistente con la estructura {"error": "..."}.</w:t>
      </w:r>
    </w:p>
    <w:p>
      <w:pPr>
        <w:spacing w:before="280" w:after="80"/>
      </w:pPr>
      <w:r>
        <w:rPr>
          <w:b/>
          <w:color w:val="2E74B5"/>
          <w:sz w:val="32"/>
        </w:rPr>
        <w:t>12. Configuración y Variables de Entorno</w:t>
      </w:r>
    </w:p>
    <w:p>
      <w:pPr>
        <w:spacing w:before="40" w:after="40"/>
        <w:pBdr>
          <w:bottom w:val="single" w:sz="6" w:space="1" w:color="2E74B5"/>
        </w:pBdr>
      </w:pPr>
    </w:p>
    <w:tbl>
      <w:tblPr>
        <w:tblStyle w:val="TableGrid"/>
        <w:tblW w:type="auto" w:w="0"/>
        <w:jc w:val="left"/>
        <w:tblLook w:firstColumn="1" w:firstRow="1" w:lastColumn="0" w:lastRow="0" w:noHBand="0" w:noVBand="1" w:val="04A0"/>
      </w:tblPr>
      <w:tblGrid>
        <w:gridCol w:w="2160"/>
        <w:gridCol w:w="2160"/>
        <w:gridCol w:w="2160"/>
        <w:gridCol w:w="2160"/>
      </w:tblGrid>
      <w:tr>
        <w:tc>
          <w:tcPr>
            <w:tcW w:type="dxa" w:w="3118"/>
            <w:shd w:val="clear" w:color="auto" w:fill="2E74B5"/>
          </w:tcPr>
          <w:p>
            <w:r>
              <w:rPr>
                <w:b/>
                <w:color w:val="FFFFFF"/>
              </w:rPr>
              <w:t>Variable</w:t>
            </w:r>
          </w:p>
        </w:tc>
        <w:tc>
          <w:tcPr>
            <w:tcW w:type="dxa" w:w="1701"/>
            <w:shd w:val="clear" w:color="auto" w:fill="2E74B5"/>
          </w:tcPr>
          <w:p>
            <w:r>
              <w:rPr>
                <w:b/>
                <w:color w:val="FFFFFF"/>
              </w:rPr>
              <w:t>Obligatoria</w:t>
            </w:r>
          </w:p>
        </w:tc>
        <w:tc>
          <w:tcPr>
            <w:tcW w:type="dxa" w:w="2551"/>
            <w:shd w:val="clear" w:color="auto" w:fill="2E74B5"/>
          </w:tcPr>
          <w:p>
            <w:r>
              <w:rPr>
                <w:b/>
                <w:color w:val="FFFFFF"/>
              </w:rPr>
              <w:t>Valor por defecto</w:t>
            </w:r>
          </w:p>
        </w:tc>
        <w:tc>
          <w:tcPr>
            <w:tcW w:type="dxa" w:w="2835"/>
            <w:shd w:val="clear" w:color="auto" w:fill="2E74B5"/>
          </w:tcPr>
          <w:p>
            <w:r>
              <w:rPr>
                <w:b/>
                <w:color w:val="FFFFFF"/>
              </w:rPr>
              <w:t>Descripción</w:t>
            </w:r>
          </w:p>
        </w:tc>
      </w:tr>
      <w:tr>
        <w:tc>
          <w:tcPr>
            <w:tcW w:type="dxa" w:w="3118"/>
          </w:tcPr>
          <w:p>
            <w:r>
              <w:t>DJANGO_SECRET_KEY</w:t>
            </w:r>
          </w:p>
        </w:tc>
        <w:tc>
          <w:tcPr>
            <w:tcW w:type="dxa" w:w="1701"/>
          </w:tcPr>
          <w:p>
            <w:r>
              <w:t>Sí</w:t>
            </w:r>
          </w:p>
        </w:tc>
        <w:tc>
          <w:tcPr>
            <w:tcW w:type="dxa" w:w="2551"/>
          </w:tcPr>
          <w:p>
            <w:r>
              <w:t>—</w:t>
            </w:r>
          </w:p>
        </w:tc>
        <w:tc>
          <w:tcPr>
            <w:tcW w:type="dxa" w:w="2835"/>
          </w:tcPr>
          <w:p>
            <w:r>
              <w:t>Clave criptográfica de Django</w:t>
            </w:r>
          </w:p>
        </w:tc>
      </w:tr>
      <w:tr>
        <w:tc>
          <w:tcPr>
            <w:tcW w:type="dxa" w:w="3118"/>
          </w:tcPr>
          <w:p>
            <w:r>
              <w:t>DJANGO_CORS_ALLOWED_ORIGINS</w:t>
            </w:r>
          </w:p>
        </w:tc>
        <w:tc>
          <w:tcPr>
            <w:tcW w:type="dxa" w:w="1701"/>
          </w:tcPr>
          <w:p>
            <w:r>
              <w:t>Sí</w:t>
            </w:r>
          </w:p>
        </w:tc>
        <w:tc>
          <w:tcPr>
            <w:tcW w:type="dxa" w:w="2551"/>
          </w:tcPr>
          <w:p>
            <w:r>
              <w:t>—</w:t>
            </w:r>
          </w:p>
        </w:tc>
        <w:tc>
          <w:tcPr>
            <w:tcW w:type="dxa" w:w="2835"/>
          </w:tcPr>
          <w:p>
            <w:r>
              <w:t>Orígenes permitidos para CORS</w:t>
            </w:r>
          </w:p>
        </w:tc>
      </w:tr>
      <w:tr>
        <w:tc>
          <w:tcPr>
            <w:tcW w:type="dxa" w:w="3118"/>
          </w:tcPr>
          <w:p>
            <w:r>
              <w:t>DJANGO_DEBUG</w:t>
            </w:r>
          </w:p>
        </w:tc>
        <w:tc>
          <w:tcPr>
            <w:tcW w:type="dxa" w:w="1701"/>
          </w:tcPr>
          <w:p>
            <w:r>
              <w:t>No</w:t>
            </w:r>
          </w:p>
        </w:tc>
        <w:tc>
          <w:tcPr>
            <w:tcW w:type="dxa" w:w="2551"/>
          </w:tcPr>
          <w:p>
            <w:r>
              <w:t>True</w:t>
            </w:r>
          </w:p>
        </w:tc>
        <w:tc>
          <w:tcPr>
            <w:tcW w:type="dxa" w:w="2835"/>
          </w:tcPr>
          <w:p>
            <w:r>
              <w:t>Modo depuración</w:t>
            </w:r>
          </w:p>
        </w:tc>
      </w:tr>
      <w:tr>
        <w:tc>
          <w:tcPr>
            <w:tcW w:type="dxa" w:w="3118"/>
          </w:tcPr>
          <w:p>
            <w:r>
              <w:t>DJANGO_ALLOWED_HOSTS</w:t>
            </w:r>
          </w:p>
        </w:tc>
        <w:tc>
          <w:tcPr>
            <w:tcW w:type="dxa" w:w="1701"/>
          </w:tcPr>
          <w:p>
            <w:r>
              <w:t>No</w:t>
            </w:r>
          </w:p>
        </w:tc>
        <w:tc>
          <w:tcPr>
            <w:tcW w:type="dxa" w:w="2551"/>
          </w:tcPr>
          <w:p>
            <w:r>
              <w:t>localhost,127.0.0.1</w:t>
            </w:r>
          </w:p>
        </w:tc>
        <w:tc>
          <w:tcPr>
            <w:tcW w:type="dxa" w:w="2835"/>
          </w:tcPr>
          <w:p>
            <w:r>
              <w:t>Hosts aceptados</w:t>
            </w:r>
          </w:p>
        </w:tc>
      </w:tr>
      <w:tr>
        <w:tc>
          <w:tcPr>
            <w:tcW w:type="dxa" w:w="3118"/>
          </w:tcPr>
          <w:p>
            <w:r>
              <w:t>DJANGO_TIME_ZONE</w:t>
            </w:r>
          </w:p>
        </w:tc>
        <w:tc>
          <w:tcPr>
            <w:tcW w:type="dxa" w:w="1701"/>
          </w:tcPr>
          <w:p>
            <w:r>
              <w:t>No</w:t>
            </w:r>
          </w:p>
        </w:tc>
        <w:tc>
          <w:tcPr>
            <w:tcW w:type="dxa" w:w="2551"/>
          </w:tcPr>
          <w:p>
            <w:r>
              <w:t>Europe/Madrid</w:t>
            </w:r>
          </w:p>
        </w:tc>
        <w:tc>
          <w:tcPr>
            <w:tcW w:type="dxa" w:w="2835"/>
          </w:tcPr>
          <w:p>
            <w:r>
              <w:t>Zona horaria del servidor</w:t>
            </w:r>
          </w:p>
        </w:tc>
      </w:tr>
      <w:tr>
        <w:tc>
          <w:tcPr>
            <w:tcW w:type="dxa" w:w="3118"/>
          </w:tcPr>
          <w:p>
            <w:r>
              <w:t>DJANGO_LOG_LEVEL</w:t>
            </w:r>
          </w:p>
        </w:tc>
        <w:tc>
          <w:tcPr>
            <w:tcW w:type="dxa" w:w="1701"/>
          </w:tcPr>
          <w:p>
            <w:r>
              <w:t>No</w:t>
            </w:r>
          </w:p>
        </w:tc>
        <w:tc>
          <w:tcPr>
            <w:tcW w:type="dxa" w:w="2551"/>
          </w:tcPr>
          <w:p>
            <w:r>
              <w:t>INFO</w:t>
            </w:r>
          </w:p>
        </w:tc>
        <w:tc>
          <w:tcPr>
            <w:tcW w:type="dxa" w:w="2835"/>
          </w:tcPr>
          <w:p>
            <w:r>
              <w:t>Nivel de log</w:t>
            </w:r>
          </w:p>
        </w:tc>
      </w:tr>
    </w:tbl>
    <w:p/>
    <w:p>
      <w:pPr>
        <w:spacing w:after="120"/>
      </w:pPr>
      <w:r>
        <w:t>Se recomienda usar un fichero .env en desarrollo. El repositorio incluye .env.example como referencia.</w:t>
      </w:r>
    </w:p>
    <w:p>
      <w:pPr>
        <w:spacing w:before="280" w:after="80"/>
      </w:pPr>
      <w:r>
        <w:rPr>
          <w:b/>
          <w:color w:val="2E74B5"/>
          <w:sz w:val="32"/>
        </w:rPr>
        <w:t>13. Seguridad</w:t>
      </w:r>
    </w:p>
    <w:p>
      <w:pPr>
        <w:spacing w:before="40" w:after="40"/>
        <w:pBdr>
          <w:bottom w:val="single" w:sz="6" w:space="1" w:color="2E74B5"/>
        </w:pBdr>
      </w:pPr>
    </w:p>
    <w:p>
      <w:pPr>
        <w:pStyle w:val="ListBullet"/>
        <w:spacing w:after="40"/>
      </w:pPr>
      <w:r>
        <w:t>Sin secretos en el código: todas las claves son variables de entorno.</w:t>
      </w:r>
    </w:p>
    <w:p>
      <w:pPr>
        <w:pStyle w:val="ListBullet"/>
        <w:spacing w:after="40"/>
      </w:pPr>
      <w:r>
        <w:t>Modelo de usuario personalizado: email como identificador, sin campo username.</w:t>
      </w:r>
    </w:p>
    <w:p>
      <w:pPr>
        <w:pStyle w:val="ListBullet"/>
        <w:spacing w:after="40"/>
      </w:pPr>
      <w:r>
        <w:t>CSRF activo en todos los formularios web.</w:t>
      </w:r>
    </w:p>
    <w:p>
      <w:pPr>
        <w:pStyle w:val="ListBullet"/>
        <w:spacing w:after="40"/>
      </w:pPr>
      <w:r>
        <w:t>CORS explícito: solo los orígenes listados en la variable de entorno pueden acceder a la API.</w:t>
      </w:r>
    </w:p>
    <w:p>
      <w:pPr>
        <w:pStyle w:val="ListBullet"/>
        <w:spacing w:after="40"/>
      </w:pPr>
      <w:r>
        <w:t>Proxy de ficheros con whitelist: el endpoint /api/archivo/ valida el nombre del campo antes de servir el binario.</w:t>
      </w:r>
    </w:p>
    <w:p>
      <w:pPr>
        <w:pStyle w:val="ListBullet"/>
        <w:spacing w:after="40"/>
      </w:pPr>
      <w:r>
        <w:t>Soft delete: los datos no se pierden accidentalmente; el borrado físico es una operación separada y explícita.</w:t>
      </w:r>
    </w:p>
    <w:p>
      <w:pPr>
        <w:spacing w:before="280" w:after="80"/>
      </w:pPr>
      <w:r>
        <w:rPr>
          <w:b/>
          <w:color w:val="2E74B5"/>
          <w:sz w:val="32"/>
        </w:rPr>
        <w:t>14. Integración con Sistema Legado (PHPSanidad)</w:t>
      </w:r>
    </w:p>
    <w:p>
      <w:pPr>
        <w:spacing w:before="40" w:after="40"/>
        <w:pBdr>
          <w:bottom w:val="single" w:sz="6" w:space="1" w:color="2E74B5"/>
        </w:pBdr>
      </w:pPr>
    </w:p>
    <w:p>
      <w:pPr>
        <w:spacing w:after="120"/>
      </w:pPr>
      <w:r>
        <w:t>La API incluye campos alias y mapeos de columnas de base de datos (db_column) para mantener compatibilidad con el esquema de PHPSanidad. Esto permite una migración incremental sin interrumpir el cliente existente, ya que ambos sistemas pueden convivir apuntando a la misma base de datos durante la transición.</w:t>
      </w:r>
    </w:p>
    <w:p>
      <w:pPr>
        <w:spacing w:before="280" w:after="80"/>
      </w:pPr>
      <w:r>
        <w:rPr>
          <w:b/>
          <w:color w:val="2E74B5"/>
          <w:sz w:val="32"/>
        </w:rPr>
        <w:t>15. Deuda Técnica y Notas de Desarrollo</w:t>
      </w:r>
    </w:p>
    <w:p>
      <w:pPr>
        <w:spacing w:before="40" w:after="40"/>
        <w:pBdr>
          <w:bottom w:val="single" w:sz="6" w:space="1" w:color="2E74B5"/>
        </w:pBdr>
      </w:pPr>
    </w:p>
    <w:p>
      <w:pPr>
        <w:pStyle w:val="ListBullet"/>
        <w:spacing w:after="40"/>
      </w:pPr>
      <w:r>
        <w:t>Base de datos: en producción se debería migrar de SQLite a MySQL/PostgreSQL (el driver PyMySQL ya está incluido en requirements.txt).</w:t>
      </w:r>
    </w:p>
    <w:p>
      <w:pPr>
        <w:pStyle w:val="ListBullet"/>
        <w:spacing w:after="40"/>
      </w:pPr>
      <w:r>
        <w:t>Almacenamiento de imágenes: el uso de BinaryField en BD funciona bien para volúmenes bajos, pero en producción con muchas imágenes se debería evaluar almacenamiento externo (S3, filesystem) para no penalizar el rendimiento de la BD.</w:t>
      </w:r>
    </w:p>
    <w:p>
      <w:pPr>
        <w:pStyle w:val="ListBullet"/>
        <w:spacing w:after="40"/>
      </w:pPr>
      <w:r>
        <w:t>Autenticación de la API: actualmente depende de sesiones Django. Si se prevé un cliente móvil o SPA desacoplada, convendría añadir autenticación por tokens (p.ej. djangorestframework-simplejwt).</w:t>
      </w:r>
    </w:p>
    <w:p>
      <w:pPr>
        <w:pStyle w:val="ListBullet"/>
        <w:spacing w:after="40"/>
      </w:pPr>
      <w:r>
        <w:t>AJAX en plantillas: el JavaScript embebido en los templates podría refactorizarse a un cliente JavaScript más estructurado (componentes o módulos ES6) si el proyecto crece.</w:t>
      </w:r>
    </w:p>
    <w:p>
      <w:pPr>
        <w:spacing w:before="280" w:after="80"/>
      </w:pPr>
      <w:r>
        <w:rPr>
          <w:b/>
          <w:color w:val="2E74B5"/>
          <w:sz w:val="32"/>
        </w:rPr>
        <w:t>16. Cómo Arrancar el Proyecto en Local</w:t>
      </w:r>
    </w:p>
    <w:p>
      <w:pPr>
        <w:spacing w:before="40" w:after="40"/>
        <w:pBdr>
          <w:bottom w:val="single" w:sz="6" w:space="1" w:color="2E74B5"/>
        </w:pBdr>
      </w:pPr>
    </w:p>
    <w:p>
      <w:pPr>
        <w:spacing w:before="80" w:after="80"/>
        <w:ind w:left="567"/>
        <w:shd w:val="clear" w:color="auto" w:fill="F2F2F2"/>
      </w:pPr>
      <w:r>
        <w:rPr>
          <w:rFonts w:ascii="Courier New" w:hAnsi="Courier New"/>
          <w:color w:val="202020"/>
          <w:sz w:val="18"/>
        </w:rPr>
        <w:t># 1. Clonar e instalar dependencias</w:t>
        <w:br/>
        <w:t>git clone &lt;repo&gt;</w:t>
        <w:br/>
        <w:t>cd DjangoSanidad</w:t>
        <w:br/>
        <w:t>pip install -r requirements.txt</w:t>
        <w:br/>
        <w:br/>
        <w:t># 2. Configurar variables de entorno</w:t>
        <w:br/>
        <w:t>cp .env.example .env</w:t>
        <w:br/>
        <w:t># Editar .env con los valores correspondientes</w:t>
        <w:br/>
        <w:br/>
        <w:t># 3. Aplicar migraciones</w:t>
        <w:br/>
        <w:t>python manage.py migrate</w:t>
        <w:br/>
        <w:br/>
        <w:t># 4. Crear superusuario (rol profesor)</w:t>
        <w:br/>
        <w:t>python manage.py createsuperuser</w:t>
        <w:br/>
        <w:br/>
        <w:t># 5. Arrancar servidor de desarrollo</w:t>
        <w:br/>
        <w:t>python manage.py runserver</w:t>
      </w:r>
    </w:p>
    <w:p>
      <w:pPr>
        <w:spacing w:after="120"/>
      </w:pPr>
      <w:r>
        <w:t>El panel de administración de Django (/admin/) permite gestionar el CatalogoOpcion para configurar las opciones de los formularios sin necesidad de tocar el código.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