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95F2" w14:textId="77777777" w:rsidR="0021274A" w:rsidRDefault="00000000">
      <w:pPr>
        <w:spacing w:after="115" w:line="238" w:lineRule="auto"/>
        <w:ind w:left="0" w:firstLine="0"/>
        <w:jc w:val="center"/>
      </w:pPr>
      <w:r>
        <w:rPr>
          <w:sz w:val="34"/>
        </w:rPr>
        <w:t>CHAINSILIENCE AI: An Agentic, Digital-Twin Framework for Supply-Chain Disruption Intelligence</w:t>
      </w:r>
    </w:p>
    <w:p w14:paraId="65997395" w14:textId="483441C4" w:rsidR="00604029" w:rsidRDefault="00604029" w:rsidP="00604029">
      <w:pPr>
        <w:spacing w:after="0" w:line="265" w:lineRule="auto"/>
        <w:jc w:val="center"/>
      </w:pPr>
      <w:r>
        <w:t>Ka Woon Ho, Ke Xin Cao, Gary Leng, Mo Xia, Andrew Li</w:t>
      </w:r>
    </w:p>
    <w:p w14:paraId="33835544" w14:textId="77777777" w:rsidR="00604029" w:rsidRDefault="00604029" w:rsidP="00604029">
      <w:pPr>
        <w:spacing w:after="0" w:line="265" w:lineRule="auto"/>
        <w:jc w:val="center"/>
      </w:pPr>
    </w:p>
    <w:p w14:paraId="640E1B5E" w14:textId="7E350F6A" w:rsidR="00604029" w:rsidRDefault="00604029" w:rsidP="00604029">
      <w:pPr>
        <w:spacing w:after="0" w:line="265" w:lineRule="auto"/>
        <w:jc w:val="center"/>
      </w:pPr>
      <w:hyperlink r:id="rId7" w:history="1">
        <w:r w:rsidRPr="003C119C">
          <w:rPr>
            <w:rStyle w:val="Hyperlink"/>
          </w:rPr>
          <w:t>ansonho31@gmail.com</w:t>
        </w:r>
      </w:hyperlink>
    </w:p>
    <w:p w14:paraId="0105C044" w14:textId="20A22494" w:rsidR="00604029" w:rsidRDefault="00604029" w:rsidP="00604029">
      <w:pPr>
        <w:spacing w:after="0" w:line="265" w:lineRule="auto"/>
        <w:jc w:val="center"/>
      </w:pPr>
      <w:hyperlink r:id="rId8" w:history="1">
        <w:r w:rsidRPr="003C119C">
          <w:rPr>
            <w:rStyle w:val="Hyperlink"/>
          </w:rPr>
          <w:t>caokexin5632@gmail.com</w:t>
        </w:r>
      </w:hyperlink>
    </w:p>
    <w:p w14:paraId="34B9E42C" w14:textId="38A27226" w:rsidR="00604029" w:rsidRDefault="00604029" w:rsidP="00604029">
      <w:pPr>
        <w:spacing w:after="0" w:line="265" w:lineRule="auto"/>
        <w:jc w:val="center"/>
      </w:pPr>
      <w:hyperlink r:id="rId9" w:history="1">
        <w:r w:rsidRPr="003C119C">
          <w:rPr>
            <w:rStyle w:val="Hyperlink"/>
          </w:rPr>
          <w:t>Lengg0701@gmail.com</w:t>
        </w:r>
      </w:hyperlink>
    </w:p>
    <w:p w14:paraId="2790A225" w14:textId="7D62613D" w:rsidR="00604029" w:rsidRDefault="00604029" w:rsidP="00604029">
      <w:pPr>
        <w:spacing w:after="0" w:line="265" w:lineRule="auto"/>
        <w:jc w:val="center"/>
      </w:pPr>
      <w:hyperlink r:id="rId10" w:history="1">
        <w:r w:rsidRPr="003C119C">
          <w:rPr>
            <w:rStyle w:val="Hyperlink"/>
          </w:rPr>
          <w:t>mark.xia.mo@gmail.com</w:t>
        </w:r>
      </w:hyperlink>
    </w:p>
    <w:p w14:paraId="20365621" w14:textId="7D8806F8" w:rsidR="00604029" w:rsidRDefault="00604029" w:rsidP="00604029">
      <w:pPr>
        <w:spacing w:after="0" w:line="265" w:lineRule="auto"/>
        <w:jc w:val="center"/>
      </w:pPr>
      <w:hyperlink r:id="rId11" w:history="1">
        <w:r w:rsidRPr="003C119C">
          <w:rPr>
            <w:rStyle w:val="Hyperlink"/>
          </w:rPr>
          <w:t>andrew.li3056@gmail.com</w:t>
        </w:r>
      </w:hyperlink>
    </w:p>
    <w:p w14:paraId="17B2605C" w14:textId="77777777" w:rsidR="00604029" w:rsidRDefault="00604029" w:rsidP="00604029">
      <w:pPr>
        <w:spacing w:after="0" w:line="265" w:lineRule="auto"/>
        <w:ind w:left="0" w:firstLine="0"/>
      </w:pPr>
    </w:p>
    <w:p w14:paraId="2D73A78B" w14:textId="77777777" w:rsidR="0021274A" w:rsidRDefault="00000000">
      <w:pPr>
        <w:spacing w:after="5" w:line="259" w:lineRule="auto"/>
        <w:ind w:left="0" w:firstLine="0"/>
        <w:jc w:val="center"/>
      </w:pPr>
      <w:r>
        <w:rPr>
          <w:i/>
        </w:rPr>
        <w:t>International Data Science Olympiad (IDSOL) 2026</w:t>
      </w:r>
    </w:p>
    <w:p w14:paraId="032DB2FF" w14:textId="66805D2A" w:rsidR="0021274A" w:rsidRDefault="00000000" w:rsidP="00604029">
      <w:pPr>
        <w:spacing w:after="1809" w:line="265" w:lineRule="auto"/>
        <w:jc w:val="center"/>
        <w:sectPr w:rsidR="0021274A">
          <w:headerReference w:type="even" r:id="rId12"/>
          <w:headerReference w:type="default" r:id="rId13"/>
          <w:footerReference w:type="even" r:id="rId14"/>
          <w:footerReference w:type="default" r:id="rId15"/>
          <w:headerReference w:type="first" r:id="rId16"/>
          <w:footerReference w:type="first" r:id="rId17"/>
          <w:pgSz w:w="11906" w:h="16838"/>
          <w:pgMar w:top="1072" w:right="1519" w:bottom="3089" w:left="1519" w:header="720" w:footer="506" w:gutter="0"/>
          <w:cols w:space="720"/>
        </w:sectPr>
      </w:pPr>
      <w:r>
        <w:t>AI-powered resilience for SMEs, startups, and semiconductor supply networks</w:t>
      </w:r>
    </w:p>
    <w:p w14:paraId="0B3885BB" w14:textId="47932A7E" w:rsidR="0021274A" w:rsidRDefault="00000000">
      <w:pPr>
        <w:ind w:left="-5"/>
      </w:pPr>
      <w:r>
        <w:rPr>
          <w:i/>
        </w:rPr>
        <w:t>Abstract</w:t>
      </w:r>
      <w:r w:rsidR="005F035A" w:rsidRPr="005F035A">
        <w:t xml:space="preserve"> </w:t>
      </w:r>
      <w:r w:rsidR="005F035A" w:rsidRPr="005F035A">
        <w:rPr>
          <w:i/>
        </w:rPr>
        <w:t>—</w:t>
      </w:r>
      <w:r>
        <w:t xml:space="preserve"> Chainsilience AI is a proposed disruption-intelligence and response platform for small and medium-sized enterprises (SMEs), startups, and semiconductor-related businesses. It converts fragmented economic, geopolitical, environmental, regulatory, logistics, and industry reporting into company-specific operational decisions. The pipeline collects external information, extracts and verifies events with AI agents, maps them to a supply-chain knowledge graph and digital twin, estimates exposure and operational impact, and produces explainable recommendations, draft communications, dashboard updates, and alerts. Unlike generic news monitoring, the system combines public evidence with private enterprise data such as suppliers, sites, routes, inventory, production schedules, and customer orders. This paper defines the architecture, risk model, governance controls, evaluation protocol, and a retrospective Taiwan-earthquake scenario. Chainsilience AI is currently a solution architecture and prototype plan; numerical scenario outputs are illustrative and must not be interpreted as field-validated performance.</w:t>
      </w:r>
    </w:p>
    <w:p w14:paraId="126F070B" w14:textId="48AEB244" w:rsidR="0021274A" w:rsidRDefault="00000000">
      <w:pPr>
        <w:spacing w:after="135" w:line="249" w:lineRule="auto"/>
        <w:ind w:left="-5"/>
      </w:pPr>
      <w:r>
        <w:rPr>
          <w:b/>
          <w:i/>
          <w:sz w:val="16"/>
        </w:rPr>
        <w:t>Keywords-</w:t>
      </w:r>
      <w:r>
        <w:rPr>
          <w:b/>
          <w:sz w:val="16"/>
        </w:rPr>
        <w:t xml:space="preserve"> supply-chain resilience, </w:t>
      </w:r>
      <w:r w:rsidR="00901205">
        <w:rPr>
          <w:b/>
          <w:sz w:val="16"/>
        </w:rPr>
        <w:t>a</w:t>
      </w:r>
      <w:r>
        <w:rPr>
          <w:b/>
          <w:sz w:val="16"/>
        </w:rPr>
        <w:t>gentic AI, digital twin, knowledge graph, semiconductor risk, retrieval-augmented</w:t>
      </w:r>
      <w:r w:rsidR="00901205">
        <w:rPr>
          <w:b/>
          <w:sz w:val="16"/>
        </w:rPr>
        <w:t xml:space="preserve"> </w:t>
      </w:r>
      <w:r>
        <w:rPr>
          <w:b/>
          <w:sz w:val="16"/>
        </w:rPr>
        <w:t xml:space="preserve">generation, </w:t>
      </w:r>
      <w:r w:rsidR="00901205">
        <w:rPr>
          <w:b/>
          <w:sz w:val="16"/>
        </w:rPr>
        <w:t>LLM reasoning</w:t>
      </w:r>
      <w:r>
        <w:rPr>
          <w:b/>
          <w:sz w:val="16"/>
        </w:rPr>
        <w:t>, SME</w:t>
      </w:r>
      <w:r w:rsidR="00C37581">
        <w:rPr>
          <w:b/>
          <w:sz w:val="16"/>
        </w:rPr>
        <w:t>, model context protocols</w:t>
      </w:r>
      <w:r w:rsidR="008A433C">
        <w:rPr>
          <w:b/>
          <w:sz w:val="16"/>
        </w:rPr>
        <w:t>, natural language processing</w:t>
      </w:r>
    </w:p>
    <w:p w14:paraId="486DECA1" w14:textId="77777777" w:rsidR="0021274A" w:rsidRDefault="00000000">
      <w:pPr>
        <w:pStyle w:val="Heading1"/>
      </w:pPr>
      <w:r>
        <w:rPr>
          <w:b/>
        </w:rPr>
        <w:t>I.</w:t>
      </w:r>
      <w:r>
        <w:t xml:space="preserve"> INTRODUCTION AND PROBLEM</w:t>
      </w:r>
    </w:p>
    <w:p w14:paraId="3C1BBD8F" w14:textId="77777777" w:rsidR="0021274A" w:rsidRDefault="00000000">
      <w:pPr>
        <w:ind w:left="-5"/>
      </w:pPr>
      <w:r>
        <w:t>Modern supply chains are exposed to interacting shocks rather than isolated failures. In 2024, disruption around the Red Sea, Suez Canal, and Panama Canal lengthened routes, increased freight-rate volatility, and raised costs [1]. Semiconductor ecosystems add concentrated materials, specialized facilities, long qualification cycles, and geopolitical controls; a U.S. industrial-base assessment identifies fragile supply chains, customer concentration, geopolitical factors, and limited transparency as material risks [2].</w:t>
      </w:r>
    </w:p>
    <w:p w14:paraId="0F43E9AC" w14:textId="1DCE7F4B" w:rsidR="0021274A" w:rsidRDefault="00000000">
      <w:pPr>
        <w:ind w:left="-5"/>
      </w:pPr>
      <w:r>
        <w:t xml:space="preserve">Large enterprises may purchase specialist intelligence and maintain dedicated risk teams. Many SMEs instead depend on supplier emails, spreadsheets, search alerts, and periodic meetings. The decisive information may exist, but it is separated from the operational context required to answer: Which order is threatened? How long will stock </w:t>
      </w:r>
      <w:r>
        <w:t>last? Which customer commitment fails first? What is the least-cost mitigation</w:t>
      </w:r>
      <w:r w:rsidR="00901205">
        <w:t xml:space="preserve"> strategy</w:t>
      </w:r>
      <w:r>
        <w:t>?</w:t>
      </w:r>
    </w:p>
    <w:p w14:paraId="3B683357" w14:textId="77777777" w:rsidR="0021274A" w:rsidRDefault="00000000">
      <w:pPr>
        <w:pStyle w:val="Heading2"/>
        <w:ind w:left="-5"/>
      </w:pPr>
      <w:r>
        <w:rPr>
          <w:b/>
        </w:rPr>
        <w:t>A.</w:t>
      </w:r>
      <w:r>
        <w:t xml:space="preserve"> Problem Statement</w:t>
      </w:r>
    </w:p>
    <w:p w14:paraId="278671DD" w14:textId="225C7341" w:rsidR="0021274A" w:rsidRDefault="00000000">
      <w:pPr>
        <w:spacing w:after="0"/>
        <w:ind w:left="-5"/>
      </w:pPr>
      <w:r>
        <w:t xml:space="preserve">Manual monitoring creates three delays. First, analysts must discover a relevant event among high-volume reporting. Second, they must verify location, affected entities, products, timing, and severity. Third, they must translate the event into dependencies hidden across </w:t>
      </w:r>
      <w:r w:rsidR="00901205">
        <w:t>business</w:t>
      </w:r>
      <w:r>
        <w:t xml:space="preserve"> systems. Conventional disruption models support preparedness and recovery, but their value depends on timely, current inputs [3].</w:t>
      </w:r>
    </w:p>
    <w:p w14:paraId="6BCAFC48" w14:textId="77777777" w:rsidR="0021274A" w:rsidRDefault="00000000">
      <w:pPr>
        <w:ind w:left="-5"/>
      </w:pPr>
      <w:r>
        <w:t>Chainsilience AI addresses this event-to-decision gap.</w:t>
      </w:r>
    </w:p>
    <w:p w14:paraId="653D3D8E" w14:textId="77777777" w:rsidR="0021274A" w:rsidRDefault="00000000">
      <w:pPr>
        <w:pStyle w:val="Heading2"/>
        <w:ind w:left="-5"/>
      </w:pPr>
      <w:r>
        <w:rPr>
          <w:b/>
        </w:rPr>
        <w:t>B.</w:t>
      </w:r>
      <w:r>
        <w:t xml:space="preserve"> Research Gap</w:t>
      </w:r>
    </w:p>
    <w:p w14:paraId="796F63E6" w14:textId="7712D47C" w:rsidR="0021274A" w:rsidRDefault="00000000">
      <w:pPr>
        <w:ind w:left="-5"/>
      </w:pPr>
      <w:r>
        <w:t>Digital supply-chain twins can represent the network state and test disruption scenarios [4], while ISO 23247 provides general digital-twin principles for manufacturing [5]. Knowledge graphs can reveal multi-tier dependencies</w:t>
      </w:r>
      <w:r w:rsidR="00901205">
        <w:t xml:space="preserve"> between entities such as suppliers and shipping routes</w:t>
      </w:r>
      <w:r>
        <w:t xml:space="preserve"> and support risk reasoning [6], and recent work shows that large language models (LLMs) can extract supply-chain relat</w:t>
      </w:r>
      <w:r w:rsidR="00AF26D7">
        <w:t>ed news</w:t>
      </w:r>
      <w:r>
        <w:t xml:space="preserve"> from public sources [7]. The remaining design challenge is to </w:t>
      </w:r>
      <w:r w:rsidR="00AF26D7">
        <w:t>synthesize</w:t>
      </w:r>
      <w:r>
        <w:t xml:space="preserve"> these capabilities into a governed operational workflow that preserves evidence, quantifies uncertainty, and requires authorization before consequential actions.</w:t>
      </w:r>
    </w:p>
    <w:p w14:paraId="41585D4D" w14:textId="77777777" w:rsidR="0021274A" w:rsidRDefault="00000000">
      <w:pPr>
        <w:pStyle w:val="Heading2"/>
        <w:ind w:left="-5"/>
      </w:pPr>
      <w:r>
        <w:rPr>
          <w:b/>
        </w:rPr>
        <w:t>C.</w:t>
      </w:r>
      <w:r>
        <w:t xml:space="preserve"> Objectives</w:t>
      </w:r>
    </w:p>
    <w:p w14:paraId="7600186E" w14:textId="4E3F4A25" w:rsidR="0021274A" w:rsidRDefault="00000000">
      <w:pPr>
        <w:ind w:left="-5"/>
      </w:pPr>
      <w:r>
        <w:t xml:space="preserve">The project has five objectives: (1) detect and normalize relevant external events; (2) connect events to enterprise assets and commitments; (3) estimate </w:t>
      </w:r>
      <w:r w:rsidR="004E39BD">
        <w:t xml:space="preserve">revenue at risk, </w:t>
      </w:r>
      <w:r>
        <w:t>delay, inventory, cost</w:t>
      </w:r>
      <w:r w:rsidR="004E39BD">
        <w:t xml:space="preserve"> of mitigation</w:t>
      </w:r>
      <w:r>
        <w:t xml:space="preserve">, and </w:t>
      </w:r>
      <w:r w:rsidR="004E39BD">
        <w:t xml:space="preserve">production </w:t>
      </w:r>
      <w:r>
        <w:t>stoppage risk; (4) generate traceable mitigation options and communications; and (5) evaluate timeliness, accuracy, usefulness, and safety.</w:t>
      </w:r>
    </w:p>
    <w:p w14:paraId="7CB61C68" w14:textId="77777777" w:rsidR="0021274A" w:rsidRDefault="00000000">
      <w:pPr>
        <w:pStyle w:val="Heading2"/>
        <w:ind w:left="-5"/>
      </w:pPr>
      <w:r>
        <w:rPr>
          <w:b/>
        </w:rPr>
        <w:t>D.</w:t>
      </w:r>
      <w:r>
        <w:t xml:space="preserve"> Scope and Status</w:t>
      </w:r>
    </w:p>
    <w:p w14:paraId="716CCA13" w14:textId="77777777" w:rsidR="0021274A" w:rsidRDefault="00000000">
      <w:pPr>
        <w:spacing w:after="5"/>
        <w:ind w:left="-5"/>
      </w:pPr>
      <w:r>
        <w:rPr>
          <w:b/>
        </w:rPr>
        <w:t>Implemented/prototyped:</w:t>
      </w:r>
      <w:r>
        <w:t xml:space="preserve"> intended for demonstrated modules and interfaces only after they exist. </w:t>
      </w:r>
      <w:r>
        <w:rPr>
          <w:b/>
        </w:rPr>
        <w:t>Planned:</w:t>
      </w:r>
      <w:r>
        <w:t xml:space="preserve"> architecture, integrations, scoring, simulations, and controlled agent actions described here. </w:t>
      </w:r>
      <w:r>
        <w:rPr>
          <w:b/>
        </w:rPr>
        <w:t>Assumed:</w:t>
      </w:r>
      <w:r>
        <w:t xml:space="preserve"> enterprise data availability, access rights, and scenario inputs. </w:t>
      </w:r>
      <w:r>
        <w:rPr>
          <w:b/>
        </w:rPr>
        <w:t>Illustrative:</w:t>
      </w:r>
      <w:r>
        <w:t xml:space="preserve"> all case-study probabilities, costs, and </w:t>
      </w:r>
      <w:r>
        <w:lastRenderedPageBreak/>
        <w:t>recommended allocations. This explicit labeling prevents a design proposal from being mistaken for production evidence.</w:t>
      </w:r>
    </w:p>
    <w:p w14:paraId="0DE046C2" w14:textId="77777777" w:rsidR="004E39BD" w:rsidRDefault="004E39BD">
      <w:pPr>
        <w:spacing w:after="5"/>
        <w:ind w:left="-5"/>
      </w:pPr>
    </w:p>
    <w:tbl>
      <w:tblPr>
        <w:tblStyle w:val="TableGrid"/>
        <w:tblW w:w="4757" w:type="dxa"/>
        <w:tblInd w:w="0" w:type="dxa"/>
        <w:tblCellMar>
          <w:top w:w="90" w:type="dxa"/>
          <w:left w:w="60" w:type="dxa"/>
          <w:right w:w="115" w:type="dxa"/>
        </w:tblCellMar>
        <w:tblLook w:val="04A0" w:firstRow="1" w:lastRow="0" w:firstColumn="1" w:lastColumn="0" w:noHBand="0" w:noVBand="1"/>
      </w:tblPr>
      <w:tblGrid>
        <w:gridCol w:w="1814"/>
        <w:gridCol w:w="2943"/>
      </w:tblGrid>
      <w:tr w:rsidR="0021274A" w14:paraId="0A090543"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17365D"/>
          </w:tcPr>
          <w:p w14:paraId="75912453" w14:textId="77777777" w:rsidR="0021274A" w:rsidRDefault="00000000">
            <w:pPr>
              <w:spacing w:after="0" w:line="259" w:lineRule="auto"/>
              <w:ind w:left="0" w:firstLine="0"/>
              <w:jc w:val="left"/>
            </w:pPr>
            <w:r>
              <w:rPr>
                <w:rFonts w:ascii="Arial" w:eastAsia="Arial" w:hAnsi="Arial" w:cs="Arial"/>
                <w:b/>
                <w:color w:val="FFFFFF"/>
                <w:sz w:val="13"/>
              </w:rPr>
              <w:t>Question</w:t>
            </w:r>
          </w:p>
        </w:tc>
        <w:tc>
          <w:tcPr>
            <w:tcW w:w="2942" w:type="dxa"/>
            <w:tcBorders>
              <w:top w:val="single" w:sz="2" w:space="0" w:color="AAB7C4"/>
              <w:left w:val="single" w:sz="2" w:space="0" w:color="AAB7C4"/>
              <w:bottom w:val="single" w:sz="2" w:space="0" w:color="AAB7C4"/>
              <w:right w:val="single" w:sz="2" w:space="0" w:color="AAB7C4"/>
            </w:tcBorders>
            <w:shd w:val="clear" w:color="auto" w:fill="17365D"/>
          </w:tcPr>
          <w:p w14:paraId="5C2B73DE" w14:textId="77777777" w:rsidR="0021274A" w:rsidRDefault="00000000">
            <w:pPr>
              <w:spacing w:after="0" w:line="259" w:lineRule="auto"/>
              <w:ind w:left="0" w:firstLine="0"/>
              <w:jc w:val="left"/>
            </w:pPr>
            <w:r>
              <w:rPr>
                <w:rFonts w:ascii="Arial" w:eastAsia="Arial" w:hAnsi="Arial" w:cs="Arial"/>
                <w:b/>
                <w:color w:val="FFFFFF"/>
                <w:sz w:val="13"/>
              </w:rPr>
              <w:t>System output</w:t>
            </w:r>
          </w:p>
        </w:tc>
      </w:tr>
      <w:tr w:rsidR="0021274A" w14:paraId="740F3503"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171B8740" w14:textId="77777777" w:rsidR="0021274A" w:rsidRDefault="00000000">
            <w:pPr>
              <w:spacing w:after="0" w:line="259" w:lineRule="auto"/>
              <w:ind w:left="0" w:firstLine="0"/>
              <w:jc w:val="left"/>
            </w:pPr>
            <w:r>
              <w:rPr>
                <w:rFonts w:ascii="Arial" w:eastAsia="Arial" w:hAnsi="Arial" w:cs="Arial"/>
                <w:sz w:val="13"/>
              </w:rPr>
              <w:t>What happened?</w:t>
            </w:r>
          </w:p>
        </w:tc>
        <w:tc>
          <w:tcPr>
            <w:tcW w:w="2942" w:type="dxa"/>
            <w:tcBorders>
              <w:top w:val="single" w:sz="2" w:space="0" w:color="AAB7C4"/>
              <w:left w:val="single" w:sz="2" w:space="0" w:color="AAB7C4"/>
              <w:bottom w:val="single" w:sz="2" w:space="0" w:color="AAB7C4"/>
              <w:right w:val="single" w:sz="2" w:space="0" w:color="AAB7C4"/>
            </w:tcBorders>
            <w:shd w:val="clear" w:color="auto" w:fill="FFFFFF"/>
          </w:tcPr>
          <w:p w14:paraId="162066AA" w14:textId="77777777" w:rsidR="0021274A" w:rsidRDefault="00000000">
            <w:pPr>
              <w:spacing w:after="0" w:line="259" w:lineRule="auto"/>
              <w:ind w:left="0" w:firstLine="0"/>
              <w:jc w:val="left"/>
            </w:pPr>
            <w:r>
              <w:rPr>
                <w:rFonts w:ascii="Arial" w:eastAsia="Arial" w:hAnsi="Arial" w:cs="Arial"/>
                <w:sz w:val="13"/>
              </w:rPr>
              <w:t>Verified event + source provenance</w:t>
            </w:r>
          </w:p>
        </w:tc>
      </w:tr>
      <w:tr w:rsidR="0021274A" w14:paraId="117922D1"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0671A935" w14:textId="77777777" w:rsidR="0021274A" w:rsidRDefault="00000000">
            <w:pPr>
              <w:spacing w:after="0" w:line="259" w:lineRule="auto"/>
              <w:ind w:left="0" w:firstLine="0"/>
              <w:jc w:val="left"/>
            </w:pPr>
            <w:r>
              <w:rPr>
                <w:rFonts w:ascii="Arial" w:eastAsia="Arial" w:hAnsi="Arial" w:cs="Arial"/>
                <w:sz w:val="13"/>
              </w:rPr>
              <w:t>Why relevant?</w:t>
            </w:r>
          </w:p>
        </w:tc>
        <w:tc>
          <w:tcPr>
            <w:tcW w:w="2942" w:type="dxa"/>
            <w:tcBorders>
              <w:top w:val="single" w:sz="2" w:space="0" w:color="AAB7C4"/>
              <w:left w:val="single" w:sz="2" w:space="0" w:color="AAB7C4"/>
              <w:bottom w:val="single" w:sz="2" w:space="0" w:color="AAB7C4"/>
              <w:right w:val="single" w:sz="2" w:space="0" w:color="AAB7C4"/>
            </w:tcBorders>
            <w:shd w:val="clear" w:color="auto" w:fill="EAF2F8"/>
          </w:tcPr>
          <w:p w14:paraId="51750622" w14:textId="77777777" w:rsidR="0021274A" w:rsidRDefault="00000000">
            <w:pPr>
              <w:spacing w:after="0" w:line="259" w:lineRule="auto"/>
              <w:ind w:left="0" w:firstLine="0"/>
              <w:jc w:val="left"/>
            </w:pPr>
            <w:r>
              <w:rPr>
                <w:rFonts w:ascii="Arial" w:eastAsia="Arial" w:hAnsi="Arial" w:cs="Arial"/>
                <w:sz w:val="13"/>
              </w:rPr>
              <w:t>Mapped suppliers, parts, sites, routes</w:t>
            </w:r>
          </w:p>
        </w:tc>
      </w:tr>
      <w:tr w:rsidR="0021274A" w14:paraId="16831BA8"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6F3964F2" w14:textId="77777777" w:rsidR="0021274A" w:rsidRDefault="00000000">
            <w:pPr>
              <w:spacing w:after="0" w:line="259" w:lineRule="auto"/>
              <w:ind w:left="0" w:firstLine="0"/>
              <w:jc w:val="left"/>
            </w:pPr>
            <w:r>
              <w:rPr>
                <w:rFonts w:ascii="Arial" w:eastAsia="Arial" w:hAnsi="Arial" w:cs="Arial"/>
                <w:sz w:val="13"/>
              </w:rPr>
              <w:t>What follows?</w:t>
            </w:r>
          </w:p>
        </w:tc>
        <w:tc>
          <w:tcPr>
            <w:tcW w:w="2942" w:type="dxa"/>
            <w:tcBorders>
              <w:top w:val="single" w:sz="2" w:space="0" w:color="AAB7C4"/>
              <w:left w:val="single" w:sz="2" w:space="0" w:color="AAB7C4"/>
              <w:bottom w:val="single" w:sz="2" w:space="0" w:color="AAB7C4"/>
              <w:right w:val="single" w:sz="2" w:space="0" w:color="AAB7C4"/>
            </w:tcBorders>
            <w:shd w:val="clear" w:color="auto" w:fill="FFFFFF"/>
          </w:tcPr>
          <w:p w14:paraId="07E27A86" w14:textId="77777777" w:rsidR="0021274A" w:rsidRDefault="00000000">
            <w:pPr>
              <w:spacing w:after="0" w:line="259" w:lineRule="auto"/>
              <w:ind w:left="0" w:firstLine="0"/>
              <w:jc w:val="left"/>
            </w:pPr>
            <w:r>
              <w:rPr>
                <w:rFonts w:ascii="Arial" w:eastAsia="Arial" w:hAnsi="Arial" w:cs="Arial"/>
                <w:sz w:val="13"/>
              </w:rPr>
              <w:t>Delay, days of cover, order impact</w:t>
            </w:r>
          </w:p>
        </w:tc>
      </w:tr>
      <w:tr w:rsidR="0021274A" w14:paraId="641A426F" w14:textId="77777777">
        <w:trPr>
          <w:trHeight w:val="260"/>
        </w:trPr>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3EC8BF9E" w14:textId="77777777" w:rsidR="0021274A" w:rsidRDefault="00000000">
            <w:pPr>
              <w:spacing w:after="0" w:line="259" w:lineRule="auto"/>
              <w:ind w:left="0" w:firstLine="0"/>
              <w:jc w:val="left"/>
            </w:pPr>
            <w:r>
              <w:rPr>
                <w:rFonts w:ascii="Arial" w:eastAsia="Arial" w:hAnsi="Arial" w:cs="Arial"/>
                <w:sz w:val="13"/>
              </w:rPr>
              <w:t>What now?</w:t>
            </w:r>
          </w:p>
        </w:tc>
        <w:tc>
          <w:tcPr>
            <w:tcW w:w="2942" w:type="dxa"/>
            <w:tcBorders>
              <w:top w:val="single" w:sz="2" w:space="0" w:color="AAB7C4"/>
              <w:left w:val="single" w:sz="2" w:space="0" w:color="AAB7C4"/>
              <w:bottom w:val="single" w:sz="2" w:space="0" w:color="AAB7C4"/>
              <w:right w:val="single" w:sz="2" w:space="0" w:color="AAB7C4"/>
            </w:tcBorders>
            <w:shd w:val="clear" w:color="auto" w:fill="EAF2F8"/>
          </w:tcPr>
          <w:p w14:paraId="366BE418" w14:textId="77777777" w:rsidR="0021274A" w:rsidRDefault="00000000">
            <w:pPr>
              <w:spacing w:after="0" w:line="259" w:lineRule="auto"/>
              <w:ind w:left="0" w:firstLine="0"/>
              <w:jc w:val="left"/>
            </w:pPr>
            <w:r>
              <w:rPr>
                <w:rFonts w:ascii="Arial" w:eastAsia="Arial" w:hAnsi="Arial" w:cs="Arial"/>
                <w:sz w:val="13"/>
              </w:rPr>
              <w:t>Ranked actions, cost, trade-offs, owner</w:t>
            </w:r>
          </w:p>
        </w:tc>
      </w:tr>
    </w:tbl>
    <w:p w14:paraId="5E7394BC" w14:textId="77777777" w:rsidR="0021274A" w:rsidRDefault="00000000">
      <w:pPr>
        <w:spacing w:line="251" w:lineRule="auto"/>
        <w:jc w:val="center"/>
      </w:pPr>
      <w:r>
        <w:rPr>
          <w:color w:val="4B5563"/>
          <w:sz w:val="14"/>
        </w:rPr>
        <w:t>TABLE I. FROM EXTERNAL SIGNAL TO OPERATIONAL DECISION</w:t>
      </w:r>
    </w:p>
    <w:p w14:paraId="131DC62B" w14:textId="77777777" w:rsidR="0021274A" w:rsidRDefault="00000000">
      <w:pPr>
        <w:pStyle w:val="Heading1"/>
        <w:spacing w:after="78"/>
        <w:ind w:left="17"/>
        <w:jc w:val="left"/>
      </w:pPr>
      <w:r>
        <w:rPr>
          <w:b/>
        </w:rPr>
        <w:t>II.</w:t>
      </w:r>
      <w:r>
        <w:t xml:space="preserve"> CHAINSILIENCE AI SOLUTION AND CONTRIBUTION</w:t>
      </w:r>
    </w:p>
    <w:p w14:paraId="7848193D" w14:textId="77777777" w:rsidR="0021274A" w:rsidRDefault="00000000">
      <w:pPr>
        <w:pStyle w:val="Heading2"/>
        <w:ind w:left="-5"/>
      </w:pPr>
      <w:r>
        <w:rPr>
          <w:b/>
        </w:rPr>
        <w:t>A.</w:t>
      </w:r>
      <w:r>
        <w:t xml:space="preserve"> Value Proposition</w:t>
      </w:r>
    </w:p>
    <w:p w14:paraId="00FD2D27" w14:textId="5AA67779" w:rsidR="0021274A" w:rsidRDefault="00000000">
      <w:pPr>
        <w:ind w:left="-5"/>
      </w:pPr>
      <w:r>
        <w:t xml:space="preserve">Chainsilience AI is a continuously refreshed decision-support layer above a firm's existing systems. It does not replace procurement, enterprise resource planning (ERP), manufacturing execution, transport management, or human judgment. It </w:t>
      </w:r>
      <w:r w:rsidR="004E39BD">
        <w:t xml:space="preserve">combines </w:t>
      </w:r>
      <w:r>
        <w:t xml:space="preserve">public evidence with authorized internal </w:t>
      </w:r>
      <w:r w:rsidR="004E39BD">
        <w:t xml:space="preserve">data </w:t>
      </w:r>
      <w:r>
        <w:t>and presents the smallest set of decisions needed to protect service, margin, and continuity.</w:t>
      </w:r>
    </w:p>
    <w:p w14:paraId="0BB9EB8A" w14:textId="50A31AF7" w:rsidR="0021274A" w:rsidRDefault="00000000">
      <w:pPr>
        <w:ind w:left="-5"/>
      </w:pPr>
      <w:r>
        <w:t xml:space="preserve">The primary users are procurement managers, operations planners, </w:t>
      </w:r>
      <w:r w:rsidR="003800CA">
        <w:t xml:space="preserve">startup </w:t>
      </w:r>
      <w:r>
        <w:t>founders, logistics teams, finance controllers, and risk owners. A user can move from an alert to the supporting articles, extracted facts, affected graph path, assumptions, simulation result, recommended action, and approval history. This evidence chain is essential because the same event may be severe for one company and i</w:t>
      </w:r>
      <w:r w:rsidR="003800CA">
        <w:t>rrelevant</w:t>
      </w:r>
      <w:r>
        <w:t xml:space="preserve"> for another</w:t>
      </w:r>
      <w:r w:rsidR="003800CA">
        <w:t>, depending on their respective suppliers, routes, ports, etc</w:t>
      </w:r>
      <w:r>
        <w:t>.</w:t>
      </w:r>
    </w:p>
    <w:p w14:paraId="768DD3B7" w14:textId="77777777" w:rsidR="0021274A" w:rsidRDefault="00000000">
      <w:pPr>
        <w:pStyle w:val="Heading2"/>
        <w:spacing w:after="0"/>
        <w:ind w:left="-5"/>
      </w:pPr>
      <w:r>
        <w:rPr>
          <w:b/>
        </w:rPr>
        <w:t>B.</w:t>
      </w:r>
      <w:r>
        <w:t xml:space="preserve"> Differentiators</w:t>
      </w:r>
    </w:p>
    <w:tbl>
      <w:tblPr>
        <w:tblStyle w:val="TableGrid"/>
        <w:tblW w:w="4757" w:type="dxa"/>
        <w:tblInd w:w="0" w:type="dxa"/>
        <w:tblCellMar>
          <w:top w:w="88" w:type="dxa"/>
          <w:left w:w="60" w:type="dxa"/>
          <w:right w:w="81" w:type="dxa"/>
        </w:tblCellMar>
        <w:tblLook w:val="04A0" w:firstRow="1" w:lastRow="0" w:firstColumn="1" w:lastColumn="0" w:noHBand="0" w:noVBand="1"/>
      </w:tblPr>
      <w:tblGrid>
        <w:gridCol w:w="1361"/>
        <w:gridCol w:w="1361"/>
        <w:gridCol w:w="2035"/>
      </w:tblGrid>
      <w:tr w:rsidR="0021274A" w14:paraId="6DEF8F1C"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17365D"/>
          </w:tcPr>
          <w:p w14:paraId="39FFFCDE" w14:textId="77777777" w:rsidR="0021274A" w:rsidRDefault="00000000">
            <w:pPr>
              <w:spacing w:after="0" w:line="259" w:lineRule="auto"/>
              <w:ind w:left="0" w:firstLine="0"/>
              <w:jc w:val="left"/>
            </w:pPr>
            <w:r>
              <w:rPr>
                <w:rFonts w:ascii="Arial" w:eastAsia="Arial" w:hAnsi="Arial" w:cs="Arial"/>
                <w:b/>
                <w:color w:val="FFFFFF"/>
                <w:sz w:val="12"/>
              </w:rPr>
              <w:t>Capability</w:t>
            </w:r>
          </w:p>
        </w:tc>
        <w:tc>
          <w:tcPr>
            <w:tcW w:w="1361" w:type="dxa"/>
            <w:tcBorders>
              <w:top w:val="single" w:sz="2" w:space="0" w:color="AAB7C4"/>
              <w:left w:val="single" w:sz="2" w:space="0" w:color="AAB7C4"/>
              <w:bottom w:val="single" w:sz="2" w:space="0" w:color="AAB7C4"/>
              <w:right w:val="single" w:sz="2" w:space="0" w:color="AAB7C4"/>
            </w:tcBorders>
            <w:shd w:val="clear" w:color="auto" w:fill="17365D"/>
          </w:tcPr>
          <w:p w14:paraId="2C94A9BD" w14:textId="77777777" w:rsidR="0021274A" w:rsidRDefault="00000000">
            <w:pPr>
              <w:spacing w:after="0" w:line="259" w:lineRule="auto"/>
              <w:ind w:left="0" w:firstLine="0"/>
              <w:jc w:val="left"/>
            </w:pPr>
            <w:r>
              <w:rPr>
                <w:rFonts w:ascii="Arial" w:eastAsia="Arial" w:hAnsi="Arial" w:cs="Arial"/>
                <w:b/>
                <w:color w:val="FFFFFF"/>
                <w:sz w:val="12"/>
              </w:rPr>
              <w:t>Generic monitor</w:t>
            </w:r>
          </w:p>
        </w:tc>
        <w:tc>
          <w:tcPr>
            <w:tcW w:w="2035" w:type="dxa"/>
            <w:tcBorders>
              <w:top w:val="single" w:sz="2" w:space="0" w:color="AAB7C4"/>
              <w:left w:val="single" w:sz="2" w:space="0" w:color="AAB7C4"/>
              <w:bottom w:val="single" w:sz="2" w:space="0" w:color="AAB7C4"/>
              <w:right w:val="single" w:sz="2" w:space="0" w:color="AAB7C4"/>
            </w:tcBorders>
            <w:shd w:val="clear" w:color="auto" w:fill="17365D"/>
          </w:tcPr>
          <w:p w14:paraId="5E409060" w14:textId="77777777" w:rsidR="0021274A" w:rsidRDefault="00000000">
            <w:pPr>
              <w:spacing w:after="0" w:line="259" w:lineRule="auto"/>
              <w:ind w:left="0" w:firstLine="0"/>
              <w:jc w:val="left"/>
            </w:pPr>
            <w:r>
              <w:rPr>
                <w:rFonts w:ascii="Arial" w:eastAsia="Arial" w:hAnsi="Arial" w:cs="Arial"/>
                <w:b/>
                <w:color w:val="FFFFFF"/>
                <w:sz w:val="12"/>
              </w:rPr>
              <w:t>Chainsilience AI</w:t>
            </w:r>
          </w:p>
        </w:tc>
      </w:tr>
      <w:tr w:rsidR="0021274A" w14:paraId="0D8B90B1"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1A521604" w14:textId="77777777" w:rsidR="0021274A" w:rsidRDefault="00000000">
            <w:pPr>
              <w:spacing w:after="0" w:line="259" w:lineRule="auto"/>
              <w:ind w:left="0" w:firstLine="0"/>
              <w:jc w:val="left"/>
            </w:pPr>
            <w:r>
              <w:rPr>
                <w:rFonts w:ascii="Arial" w:eastAsia="Arial" w:hAnsi="Arial" w:cs="Arial"/>
                <w:sz w:val="12"/>
              </w:rPr>
              <w:t>Signal</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5A236035" w14:textId="77777777" w:rsidR="0021274A" w:rsidRDefault="00000000">
            <w:pPr>
              <w:spacing w:after="0" w:line="259" w:lineRule="auto"/>
              <w:ind w:left="0" w:firstLine="0"/>
              <w:jc w:val="left"/>
            </w:pPr>
            <w:r>
              <w:rPr>
                <w:rFonts w:ascii="Arial" w:eastAsia="Arial" w:hAnsi="Arial" w:cs="Arial"/>
                <w:sz w:val="12"/>
              </w:rPr>
              <w:t>Keyword/news alert</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1A2EB968" w14:textId="440E8FE4" w:rsidR="0021274A" w:rsidRDefault="00000000">
            <w:pPr>
              <w:spacing w:after="0" w:line="259" w:lineRule="auto"/>
              <w:ind w:left="0" w:firstLine="0"/>
              <w:jc w:val="left"/>
            </w:pPr>
            <w:r>
              <w:rPr>
                <w:rFonts w:ascii="Arial" w:eastAsia="Arial" w:hAnsi="Arial" w:cs="Arial"/>
                <w:sz w:val="12"/>
              </w:rPr>
              <w:t xml:space="preserve">Multi-source event </w:t>
            </w:r>
            <w:r w:rsidR="00C30D13">
              <w:rPr>
                <w:rFonts w:ascii="Arial" w:eastAsia="Arial" w:hAnsi="Arial" w:cs="Arial"/>
                <w:sz w:val="12"/>
              </w:rPr>
              <w:t xml:space="preserve">+ </w:t>
            </w:r>
            <w:r w:rsidR="003800CA">
              <w:rPr>
                <w:rFonts w:ascii="Arial" w:eastAsia="Arial" w:hAnsi="Arial" w:cs="Arial"/>
                <w:sz w:val="12"/>
              </w:rPr>
              <w:t>LLM filtering of faulty news data</w:t>
            </w:r>
          </w:p>
        </w:tc>
      </w:tr>
      <w:tr w:rsidR="0021274A" w14:paraId="46D1E55A"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3E3A9BD6" w14:textId="77777777" w:rsidR="0021274A" w:rsidRDefault="00000000">
            <w:pPr>
              <w:spacing w:after="0" w:line="259" w:lineRule="auto"/>
              <w:ind w:left="0" w:firstLine="0"/>
              <w:jc w:val="left"/>
            </w:pPr>
            <w:r>
              <w:rPr>
                <w:rFonts w:ascii="Arial" w:eastAsia="Arial" w:hAnsi="Arial" w:cs="Arial"/>
                <w:sz w:val="12"/>
              </w:rPr>
              <w:t>Context</w:t>
            </w:r>
          </w:p>
        </w:tc>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697929CC" w14:textId="77777777" w:rsidR="0021274A" w:rsidRDefault="00000000">
            <w:pPr>
              <w:spacing w:after="0" w:line="259" w:lineRule="auto"/>
              <w:ind w:left="0" w:firstLine="0"/>
              <w:jc w:val="left"/>
            </w:pPr>
            <w:r>
              <w:rPr>
                <w:rFonts w:ascii="Arial" w:eastAsia="Arial" w:hAnsi="Arial" w:cs="Arial"/>
                <w:sz w:val="12"/>
              </w:rPr>
              <w:t>Sector or geography</w:t>
            </w:r>
          </w:p>
        </w:tc>
        <w:tc>
          <w:tcPr>
            <w:tcW w:w="2035" w:type="dxa"/>
            <w:tcBorders>
              <w:top w:val="single" w:sz="2" w:space="0" w:color="AAB7C4"/>
              <w:left w:val="single" w:sz="2" w:space="0" w:color="AAB7C4"/>
              <w:bottom w:val="single" w:sz="2" w:space="0" w:color="AAB7C4"/>
              <w:right w:val="single" w:sz="2" w:space="0" w:color="AAB7C4"/>
            </w:tcBorders>
            <w:shd w:val="clear" w:color="auto" w:fill="EAF2F8"/>
          </w:tcPr>
          <w:p w14:paraId="684554C5" w14:textId="77777777" w:rsidR="0021274A" w:rsidRDefault="00000000">
            <w:pPr>
              <w:spacing w:after="0" w:line="259" w:lineRule="auto"/>
              <w:ind w:left="0" w:firstLine="0"/>
              <w:jc w:val="left"/>
            </w:pPr>
            <w:r>
              <w:rPr>
                <w:rFonts w:ascii="Arial" w:eastAsia="Arial" w:hAnsi="Arial" w:cs="Arial"/>
                <w:sz w:val="12"/>
              </w:rPr>
              <w:t>Company graph + digital twin</w:t>
            </w:r>
          </w:p>
        </w:tc>
      </w:tr>
      <w:tr w:rsidR="0021274A" w14:paraId="71868E11"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7D589B16" w14:textId="77777777" w:rsidR="0021274A" w:rsidRDefault="00000000">
            <w:pPr>
              <w:spacing w:after="0" w:line="259" w:lineRule="auto"/>
              <w:ind w:left="0" w:firstLine="0"/>
              <w:jc w:val="left"/>
            </w:pPr>
            <w:r>
              <w:rPr>
                <w:rFonts w:ascii="Arial" w:eastAsia="Arial" w:hAnsi="Arial" w:cs="Arial"/>
                <w:sz w:val="12"/>
              </w:rPr>
              <w:t>Impact</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4B42A2B0" w14:textId="77777777" w:rsidR="0021274A" w:rsidRDefault="00000000">
            <w:pPr>
              <w:spacing w:after="0" w:line="259" w:lineRule="auto"/>
              <w:ind w:left="0" w:firstLine="0"/>
              <w:jc w:val="left"/>
            </w:pPr>
            <w:r>
              <w:rPr>
                <w:rFonts w:ascii="Arial" w:eastAsia="Arial" w:hAnsi="Arial" w:cs="Arial"/>
                <w:sz w:val="12"/>
              </w:rPr>
              <w:t>Narrative severity</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566811FA" w14:textId="6C93175F" w:rsidR="0021274A" w:rsidRDefault="00000000">
            <w:pPr>
              <w:spacing w:after="0" w:line="259" w:lineRule="auto"/>
              <w:ind w:left="0" w:firstLine="0"/>
              <w:jc w:val="left"/>
            </w:pPr>
            <w:r>
              <w:rPr>
                <w:rFonts w:ascii="Arial" w:eastAsia="Arial" w:hAnsi="Arial" w:cs="Arial"/>
                <w:sz w:val="12"/>
              </w:rPr>
              <w:t>Orders, delay,</w:t>
            </w:r>
            <w:r w:rsidR="00C30D13">
              <w:rPr>
                <w:rFonts w:ascii="Arial" w:eastAsia="Arial" w:hAnsi="Arial" w:cs="Arial"/>
                <w:sz w:val="12"/>
              </w:rPr>
              <w:t xml:space="preserve"> revenue at risk</w:t>
            </w:r>
            <w:r w:rsidR="007D200E">
              <w:rPr>
                <w:rFonts w:ascii="Arial" w:eastAsia="Arial" w:hAnsi="Arial" w:cs="Arial"/>
                <w:sz w:val="12"/>
              </w:rPr>
              <w:t>, inventory</w:t>
            </w:r>
          </w:p>
        </w:tc>
      </w:tr>
      <w:tr w:rsidR="0021274A" w14:paraId="672E8C5E"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520511BE" w14:textId="77777777" w:rsidR="0021274A" w:rsidRDefault="00000000">
            <w:pPr>
              <w:spacing w:after="0" w:line="259" w:lineRule="auto"/>
              <w:ind w:left="0" w:firstLine="0"/>
              <w:jc w:val="left"/>
            </w:pPr>
            <w:r>
              <w:rPr>
                <w:rFonts w:ascii="Arial" w:eastAsia="Arial" w:hAnsi="Arial" w:cs="Arial"/>
                <w:sz w:val="12"/>
              </w:rPr>
              <w:t>Response</w:t>
            </w:r>
          </w:p>
        </w:tc>
        <w:tc>
          <w:tcPr>
            <w:tcW w:w="1361" w:type="dxa"/>
            <w:tcBorders>
              <w:top w:val="single" w:sz="2" w:space="0" w:color="AAB7C4"/>
              <w:left w:val="single" w:sz="2" w:space="0" w:color="AAB7C4"/>
              <w:bottom w:val="single" w:sz="2" w:space="0" w:color="AAB7C4"/>
              <w:right w:val="single" w:sz="2" w:space="0" w:color="AAB7C4"/>
            </w:tcBorders>
            <w:shd w:val="clear" w:color="auto" w:fill="EAF2F8"/>
          </w:tcPr>
          <w:p w14:paraId="278691B2" w14:textId="77777777" w:rsidR="0021274A" w:rsidRDefault="00000000">
            <w:pPr>
              <w:spacing w:after="0" w:line="259" w:lineRule="auto"/>
              <w:ind w:left="0" w:firstLine="0"/>
              <w:jc w:val="left"/>
            </w:pPr>
            <w:r>
              <w:rPr>
                <w:rFonts w:ascii="Arial" w:eastAsia="Arial" w:hAnsi="Arial" w:cs="Arial"/>
                <w:sz w:val="12"/>
              </w:rPr>
              <w:t>Analyst interpretation</w:t>
            </w:r>
          </w:p>
        </w:tc>
        <w:tc>
          <w:tcPr>
            <w:tcW w:w="2035" w:type="dxa"/>
            <w:tcBorders>
              <w:top w:val="single" w:sz="2" w:space="0" w:color="AAB7C4"/>
              <w:left w:val="single" w:sz="2" w:space="0" w:color="AAB7C4"/>
              <w:bottom w:val="single" w:sz="2" w:space="0" w:color="AAB7C4"/>
              <w:right w:val="single" w:sz="2" w:space="0" w:color="AAB7C4"/>
            </w:tcBorders>
            <w:shd w:val="clear" w:color="auto" w:fill="EAF2F8"/>
          </w:tcPr>
          <w:p w14:paraId="7090342D" w14:textId="15EA3382" w:rsidR="0021274A" w:rsidRDefault="007D200E">
            <w:pPr>
              <w:spacing w:after="0" w:line="259" w:lineRule="auto"/>
              <w:ind w:left="0" w:firstLine="0"/>
              <w:jc w:val="left"/>
            </w:pPr>
            <w:r>
              <w:rPr>
                <w:rFonts w:ascii="Arial" w:eastAsia="Arial" w:hAnsi="Arial" w:cs="Arial"/>
                <w:sz w:val="12"/>
              </w:rPr>
              <w:t>Simulation of multi-versioned response options</w:t>
            </w:r>
          </w:p>
        </w:tc>
      </w:tr>
      <w:tr w:rsidR="0021274A" w14:paraId="4A46C988" w14:textId="77777777">
        <w:trPr>
          <w:trHeight w:val="244"/>
        </w:trPr>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7FCBF33F" w14:textId="77777777" w:rsidR="0021274A" w:rsidRDefault="00000000">
            <w:pPr>
              <w:spacing w:after="0" w:line="259" w:lineRule="auto"/>
              <w:ind w:left="0" w:firstLine="0"/>
              <w:jc w:val="left"/>
            </w:pPr>
            <w:r>
              <w:rPr>
                <w:rFonts w:ascii="Arial" w:eastAsia="Arial" w:hAnsi="Arial" w:cs="Arial"/>
                <w:sz w:val="12"/>
              </w:rPr>
              <w:t>Audit</w:t>
            </w:r>
          </w:p>
        </w:tc>
        <w:tc>
          <w:tcPr>
            <w:tcW w:w="1361" w:type="dxa"/>
            <w:tcBorders>
              <w:top w:val="single" w:sz="2" w:space="0" w:color="AAB7C4"/>
              <w:left w:val="single" w:sz="2" w:space="0" w:color="AAB7C4"/>
              <w:bottom w:val="single" w:sz="2" w:space="0" w:color="AAB7C4"/>
              <w:right w:val="single" w:sz="2" w:space="0" w:color="AAB7C4"/>
            </w:tcBorders>
            <w:shd w:val="clear" w:color="auto" w:fill="FFFFFF"/>
          </w:tcPr>
          <w:p w14:paraId="4E3FB6D1" w14:textId="77777777" w:rsidR="0021274A" w:rsidRDefault="00000000">
            <w:pPr>
              <w:spacing w:after="0" w:line="259" w:lineRule="auto"/>
              <w:ind w:left="0" w:firstLine="0"/>
              <w:jc w:val="left"/>
            </w:pPr>
            <w:r>
              <w:rPr>
                <w:rFonts w:ascii="Arial" w:eastAsia="Arial" w:hAnsi="Arial" w:cs="Arial"/>
                <w:sz w:val="12"/>
              </w:rPr>
              <w:t>Link or summary</w:t>
            </w:r>
          </w:p>
        </w:tc>
        <w:tc>
          <w:tcPr>
            <w:tcW w:w="2035" w:type="dxa"/>
            <w:tcBorders>
              <w:top w:val="single" w:sz="2" w:space="0" w:color="AAB7C4"/>
              <w:left w:val="single" w:sz="2" w:space="0" w:color="AAB7C4"/>
              <w:bottom w:val="single" w:sz="2" w:space="0" w:color="AAB7C4"/>
              <w:right w:val="single" w:sz="2" w:space="0" w:color="AAB7C4"/>
            </w:tcBorders>
            <w:shd w:val="clear" w:color="auto" w:fill="FFFFFF"/>
          </w:tcPr>
          <w:p w14:paraId="7D553E5F" w14:textId="77777777" w:rsidR="0021274A" w:rsidRDefault="00000000">
            <w:pPr>
              <w:spacing w:after="0" w:line="259" w:lineRule="auto"/>
              <w:ind w:left="0" w:firstLine="0"/>
              <w:jc w:val="left"/>
            </w:pPr>
            <w:r>
              <w:rPr>
                <w:rFonts w:ascii="Arial" w:eastAsia="Arial" w:hAnsi="Arial" w:cs="Arial"/>
                <w:sz w:val="12"/>
              </w:rPr>
              <w:t>Claim-level provenance + approvals</w:t>
            </w:r>
          </w:p>
        </w:tc>
      </w:tr>
    </w:tbl>
    <w:p w14:paraId="18AE4C89" w14:textId="77777777" w:rsidR="0021274A" w:rsidRDefault="00000000">
      <w:pPr>
        <w:spacing w:line="251" w:lineRule="auto"/>
        <w:jc w:val="center"/>
      </w:pPr>
      <w:r>
        <w:rPr>
          <w:color w:val="4B5563"/>
          <w:sz w:val="14"/>
        </w:rPr>
        <w:t>TABLE II. DIFFERENTIATION FROM GENERIC MONITORING</w:t>
      </w:r>
    </w:p>
    <w:p w14:paraId="71BAED59" w14:textId="77777777" w:rsidR="0021274A" w:rsidRDefault="00000000">
      <w:pPr>
        <w:ind w:left="-5"/>
      </w:pPr>
      <w:r>
        <w:t>The contribution is not a claim that an LLM can autonomously manage a supply chain. It is a governed composition of retrieval, structured extraction, deterministic calculations, graph traversal, simulation, optimization, and human authorization. LLMs handle language-intensive tasks; calculators and solvers handle quantities; policy engines determine which actions are permitted.</w:t>
      </w:r>
    </w:p>
    <w:p w14:paraId="2B305769" w14:textId="77777777" w:rsidR="0021274A" w:rsidRDefault="00000000">
      <w:pPr>
        <w:pStyle w:val="Heading2"/>
        <w:ind w:left="-5"/>
      </w:pPr>
      <w:r>
        <w:rPr>
          <w:b/>
        </w:rPr>
        <w:t>C.</w:t>
      </w:r>
      <w:r>
        <w:t xml:space="preserve"> Stakeholder Outcomes</w:t>
      </w:r>
    </w:p>
    <w:p w14:paraId="78961628" w14:textId="3C306C5D" w:rsidR="0021274A" w:rsidRDefault="00000000">
      <w:pPr>
        <w:ind w:left="-5"/>
      </w:pPr>
      <w:r>
        <w:t>For SMEs, the intended outcome is earlier, more consistent analysis without a large intelligence team. For semiconductor firms, the graph can represent foundries, outsourced assembly and test, materials, equipment, utilities, routes, and qualification constraints. For customers and suppliers, templated communications reduce response time while preserving approval.</w:t>
      </w:r>
    </w:p>
    <w:p w14:paraId="78DC7A5F" w14:textId="55083745" w:rsidR="00D71D02" w:rsidRDefault="00D71D02" w:rsidP="00D71D02">
      <w:pPr>
        <w:pStyle w:val="Heading2"/>
        <w:ind w:left="-5"/>
      </w:pPr>
      <w:r>
        <w:rPr>
          <w:b/>
        </w:rPr>
        <w:t>D.</w:t>
      </w:r>
      <w:r>
        <w:t xml:space="preserve"> End-to-end Workflow</w:t>
      </w:r>
    </w:p>
    <w:p w14:paraId="078CC86A" w14:textId="77777777" w:rsidR="00D71D02" w:rsidRDefault="00D71D02" w:rsidP="00D71D02">
      <w:pPr>
        <w:ind w:left="-5"/>
      </w:pPr>
      <w:r>
        <w:t xml:space="preserve">Execution begins when an authorized company administrator defines the permitted data boundary and uploads or connects the company’s </w:t>
      </w:r>
      <w:r>
        <w:t>product records, bills of materials, component mappings, suppliers and manufacturing sites, approved alternatives, inventory and in-transit stock, purchase and customer orders, production schedules, logistics routes, lead times, costs, and service priorities.</w:t>
      </w:r>
    </w:p>
    <w:p w14:paraId="4A9B75EA" w14:textId="77777777" w:rsidR="00D71D02" w:rsidRDefault="00D71D02" w:rsidP="00D71D02">
      <w:pPr>
        <w:ind w:left="0" w:firstLine="0"/>
      </w:pPr>
      <w:r>
        <w:t>The platform validates and standardizes these records, flags missing or conflicting information for review, and creates a versioned supply-chain knowledge graph and digital-twin baseline. Chainsilience AI then monitors authorized external sources, verifies potential disruptions, identifies affected dependency paths, and simulates the operational and financial consequences of taking no action.</w:t>
      </w:r>
    </w:p>
    <w:p w14:paraId="4907798F" w14:textId="77777777" w:rsidR="00D71D02" w:rsidRDefault="00D71D02" w:rsidP="00D71D02">
      <w:pPr>
        <w:ind w:left="-5"/>
      </w:pPr>
    </w:p>
    <w:p w14:paraId="2F84213F" w14:textId="373D36C5" w:rsidR="00D71D02" w:rsidRDefault="00D71D02" w:rsidP="00D71D02">
      <w:pPr>
        <w:ind w:left="-5"/>
      </w:pPr>
      <w:r>
        <w:t>The system generates feasible mitigation strategies—such as reallocating inventory, expediting shipments, rerouting logistics, adjusting production schedules, or transferring orders to qualified alternative suppliers—and compares them according to service recovery, cost, implementation time, feasibility, and remaining risk.</w:t>
      </w:r>
    </w:p>
    <w:p w14:paraId="38619E63" w14:textId="426B0233" w:rsidR="00D71D02" w:rsidRDefault="00D71D02" w:rsidP="00D71D02">
      <w:pPr>
        <w:ind w:left="-5"/>
      </w:pPr>
      <w:r>
        <w:t>A designated decision-maker reviews the supporting sources, affected supply-chain relationships, assumptions, calculations, and alternative strategies. The decision-maker may revise assumptions, modify the proposed response, rerun the simulation, and approve the exact mitigation strategy and any related communications.</w:t>
      </w:r>
    </w:p>
    <w:p w14:paraId="44C4FC72" w14:textId="1E40482E" w:rsidR="00D71D02" w:rsidRDefault="00D71D02" w:rsidP="00D71D02">
      <w:pPr>
        <w:ind w:left="-5"/>
      </w:pPr>
      <w:r>
        <w:t>Once approved, Chainsilience AI initiates only the actions permitted by company policy, such as creating procurement tasks, preparing supplier emails, notifying internal teams, or passing authorized changes to connected enterprise systems. The dashboard then displays the original no-action risk, projected post-mitigation risk, implementation progress, and realized operational impact as supplier confirmations, inventory updates, shipment information, and production data become available.</w:t>
      </w:r>
    </w:p>
    <w:p w14:paraId="305971D9" w14:textId="54156DEA" w:rsidR="00D71D02" w:rsidRDefault="00D71D02" w:rsidP="00D71D02">
      <w:pPr>
        <w:ind w:left="-5"/>
      </w:pPr>
      <w:r>
        <w:t>Projected risk reduction is clearly distinguished from realized risk reduction until supporting operational evidence has been received.</w:t>
      </w:r>
    </w:p>
    <w:p w14:paraId="48097B9C" w14:textId="77777777" w:rsidR="00D71D02" w:rsidRDefault="00D71D02" w:rsidP="00D71D02">
      <w:pPr>
        <w:ind w:left="-5"/>
      </w:pPr>
    </w:p>
    <w:p w14:paraId="30DCF385" w14:textId="77777777" w:rsidR="0021274A" w:rsidRDefault="00000000">
      <w:pPr>
        <w:pStyle w:val="Heading1"/>
        <w:spacing w:after="0"/>
      </w:pPr>
      <w:r>
        <w:rPr>
          <w:b/>
        </w:rPr>
        <w:t>III.</w:t>
      </w:r>
      <w:r>
        <w:t xml:space="preserve"> SYSTEM ARCHITECTURE AND DATA PIPELINE</w:t>
      </w:r>
    </w:p>
    <w:p w14:paraId="2776F9E1" w14:textId="77777777" w:rsidR="0021274A" w:rsidRDefault="00000000">
      <w:pPr>
        <w:spacing w:after="667" w:line="259" w:lineRule="auto"/>
        <w:ind w:left="-181" w:firstLine="0"/>
        <w:jc w:val="left"/>
      </w:pPr>
      <w:r>
        <w:rPr>
          <w:rFonts w:ascii="Calibri" w:eastAsia="Calibri" w:hAnsi="Calibri" w:cs="Calibri"/>
          <w:noProof/>
          <w:color w:val="000000"/>
          <w:sz w:val="22"/>
        </w:rPr>
        <mc:AlternateContent>
          <mc:Choice Requires="wpg">
            <w:drawing>
              <wp:inline distT="0" distB="0" distL="0" distR="0" wp14:anchorId="788CF7C7" wp14:editId="530A7E49">
                <wp:extent cx="3099600" cy="1044000"/>
                <wp:effectExtent l="0" t="0" r="0" b="0"/>
                <wp:docPr id="15278" name="Group 15278"/>
                <wp:cNvGraphicFramePr/>
                <a:graphic xmlns:a="http://schemas.openxmlformats.org/drawingml/2006/main">
                  <a:graphicData uri="http://schemas.microsoft.com/office/word/2010/wordprocessingGroup">
                    <wpg:wgp>
                      <wpg:cNvGrpSpPr/>
                      <wpg:grpSpPr>
                        <a:xfrm>
                          <a:off x="0" y="0"/>
                          <a:ext cx="3099600" cy="1044000"/>
                          <a:chOff x="0" y="0"/>
                          <a:chExt cx="3099600" cy="1044000"/>
                        </a:xfrm>
                      </wpg:grpSpPr>
                      <wps:wsp>
                        <wps:cNvPr id="202" name="Shape 202"/>
                        <wps:cNvSpPr/>
                        <wps:spPr>
                          <a:xfrm>
                            <a:off x="115200" y="0"/>
                            <a:ext cx="898800" cy="396000"/>
                          </a:xfrm>
                          <a:custGeom>
                            <a:avLst/>
                            <a:gdLst/>
                            <a:ahLst/>
                            <a:cxnLst/>
                            <a:rect l="0" t="0" r="0" b="0"/>
                            <a:pathLst>
                              <a:path w="898800" h="396000">
                                <a:moveTo>
                                  <a:pt x="79200" y="0"/>
                                </a:moveTo>
                                <a:lnTo>
                                  <a:pt x="819600" y="0"/>
                                </a:lnTo>
                                <a:cubicBezTo>
                                  <a:pt x="863382" y="0"/>
                                  <a:pt x="898800" y="35419"/>
                                  <a:pt x="898800" y="79200"/>
                                </a:cubicBezTo>
                                <a:lnTo>
                                  <a:pt x="898800" y="316800"/>
                                </a:lnTo>
                                <a:cubicBezTo>
                                  <a:pt x="898800" y="360582"/>
                                  <a:pt x="863382" y="396000"/>
                                  <a:pt x="819600"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3" name="Rectangle 203"/>
                        <wps:cNvSpPr/>
                        <wps:spPr>
                          <a:xfrm>
                            <a:off x="423417" y="96441"/>
                            <a:ext cx="375548" cy="99995"/>
                          </a:xfrm>
                          <a:prstGeom prst="rect">
                            <a:avLst/>
                          </a:prstGeom>
                          <a:ln>
                            <a:noFill/>
                          </a:ln>
                        </wps:spPr>
                        <wps:txbx>
                          <w:txbxContent>
                            <w:p w14:paraId="492F448F" w14:textId="77777777" w:rsidR="0021274A" w:rsidRDefault="00000000">
                              <w:pPr>
                                <w:spacing w:after="160" w:line="259" w:lineRule="auto"/>
                                <w:ind w:left="0" w:firstLine="0"/>
                                <w:jc w:val="left"/>
                              </w:pPr>
                              <w:r>
                                <w:rPr>
                                  <w:rFonts w:ascii="Arial" w:eastAsia="Arial" w:hAnsi="Arial" w:cs="Arial"/>
                                  <w:b/>
                                  <w:color w:val="17365D"/>
                                  <w:sz w:val="13"/>
                                </w:rPr>
                                <w:t>News +</w:t>
                              </w:r>
                            </w:p>
                          </w:txbxContent>
                        </wps:txbx>
                        <wps:bodyPr horzOverflow="overflow" vert="horz" lIns="0" tIns="0" rIns="0" bIns="0" rtlCol="0">
                          <a:noAutofit/>
                        </wps:bodyPr>
                      </wps:wsp>
                      <wps:wsp>
                        <wps:cNvPr id="204" name="Rectangle 204"/>
                        <wps:cNvSpPr/>
                        <wps:spPr>
                          <a:xfrm>
                            <a:off x="313892" y="197241"/>
                            <a:ext cx="666884" cy="99995"/>
                          </a:xfrm>
                          <a:prstGeom prst="rect">
                            <a:avLst/>
                          </a:prstGeom>
                          <a:ln>
                            <a:noFill/>
                          </a:ln>
                        </wps:spPr>
                        <wps:txbx>
                          <w:txbxContent>
                            <w:p w14:paraId="220C61FE" w14:textId="77777777" w:rsidR="0021274A" w:rsidRDefault="00000000">
                              <w:pPr>
                                <w:spacing w:after="160" w:line="259" w:lineRule="auto"/>
                                <w:ind w:left="0" w:firstLine="0"/>
                                <w:jc w:val="left"/>
                              </w:pPr>
                              <w:r>
                                <w:rPr>
                                  <w:rFonts w:ascii="Arial" w:eastAsia="Arial" w:hAnsi="Arial" w:cs="Arial"/>
                                  <w:b/>
                                  <w:color w:val="17365D"/>
                                  <w:sz w:val="13"/>
                                </w:rPr>
                                <w:t>external data</w:t>
                              </w:r>
                            </w:p>
                          </w:txbxContent>
                        </wps:txbx>
                        <wps:bodyPr horzOverflow="overflow" vert="horz" lIns="0" tIns="0" rIns="0" bIns="0" rtlCol="0">
                          <a:noAutofit/>
                        </wps:bodyPr>
                      </wps:wsp>
                      <wps:wsp>
                        <wps:cNvPr id="205" name="Shape 205"/>
                        <wps:cNvSpPr/>
                        <wps:spPr>
                          <a:xfrm>
                            <a:off x="1158000" y="0"/>
                            <a:ext cx="898800" cy="396000"/>
                          </a:xfrm>
                          <a:custGeom>
                            <a:avLst/>
                            <a:gdLst/>
                            <a:ahLst/>
                            <a:cxnLst/>
                            <a:rect l="0" t="0" r="0" b="0"/>
                            <a:pathLst>
                              <a:path w="898800" h="396000">
                                <a:moveTo>
                                  <a:pt x="79200" y="0"/>
                                </a:moveTo>
                                <a:lnTo>
                                  <a:pt x="819601" y="0"/>
                                </a:lnTo>
                                <a:cubicBezTo>
                                  <a:pt x="863383" y="0"/>
                                  <a:pt x="898800" y="35419"/>
                                  <a:pt x="898800" y="79200"/>
                                </a:cubicBezTo>
                                <a:lnTo>
                                  <a:pt x="898800" y="316800"/>
                                </a:lnTo>
                                <a:cubicBezTo>
                                  <a:pt x="898800" y="360582"/>
                                  <a:pt x="863383" y="396000"/>
                                  <a:pt x="819601"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6" name="Rectangle 206"/>
                        <wps:cNvSpPr/>
                        <wps:spPr>
                          <a:xfrm>
                            <a:off x="1436875" y="96441"/>
                            <a:ext cx="453598" cy="99995"/>
                          </a:xfrm>
                          <a:prstGeom prst="rect">
                            <a:avLst/>
                          </a:prstGeom>
                          <a:ln>
                            <a:noFill/>
                          </a:ln>
                        </wps:spPr>
                        <wps:txbx>
                          <w:txbxContent>
                            <w:p w14:paraId="44FB4ABF" w14:textId="266ECBA6" w:rsidR="0021274A" w:rsidRDefault="00C37581">
                              <w:pPr>
                                <w:spacing w:after="160" w:line="259" w:lineRule="auto"/>
                                <w:ind w:left="0" w:firstLine="0"/>
                                <w:jc w:val="left"/>
                              </w:pPr>
                              <w:r>
                                <w:rPr>
                                  <w:rFonts w:ascii="Arial" w:eastAsia="Arial" w:hAnsi="Arial" w:cs="Arial"/>
                                  <w:b/>
                                  <w:color w:val="17365D"/>
                                  <w:sz w:val="13"/>
                                </w:rPr>
                                <w:t>Scraping +</w:t>
                              </w:r>
                            </w:p>
                          </w:txbxContent>
                        </wps:txbx>
                        <wps:bodyPr horzOverflow="overflow" vert="horz" lIns="0" tIns="0" rIns="0" bIns="0" rtlCol="0">
                          <a:noAutofit/>
                        </wps:bodyPr>
                      </wps:wsp>
                      <wps:wsp>
                        <wps:cNvPr id="207" name="Rectangle 207"/>
                        <wps:cNvSpPr/>
                        <wps:spPr>
                          <a:xfrm>
                            <a:off x="1417693" y="197241"/>
                            <a:ext cx="504622" cy="99995"/>
                          </a:xfrm>
                          <a:prstGeom prst="rect">
                            <a:avLst/>
                          </a:prstGeom>
                          <a:ln>
                            <a:noFill/>
                          </a:ln>
                        </wps:spPr>
                        <wps:txbx>
                          <w:txbxContent>
                            <w:p w14:paraId="08B1F33A" w14:textId="77777777" w:rsidR="0021274A" w:rsidRDefault="00000000">
                              <w:pPr>
                                <w:spacing w:after="160" w:line="259" w:lineRule="auto"/>
                                <w:ind w:left="0" w:firstLine="0"/>
                                <w:jc w:val="left"/>
                              </w:pPr>
                              <w:r>
                                <w:rPr>
                                  <w:rFonts w:ascii="Arial" w:eastAsia="Arial" w:hAnsi="Arial" w:cs="Arial"/>
                                  <w:b/>
                                  <w:color w:val="17365D"/>
                                  <w:sz w:val="13"/>
                                </w:rPr>
                                <w:t>normalize</w:t>
                              </w:r>
                            </w:p>
                          </w:txbxContent>
                        </wps:txbx>
                        <wps:bodyPr horzOverflow="overflow" vert="horz" lIns="0" tIns="0" rIns="0" bIns="0" rtlCol="0">
                          <a:noAutofit/>
                        </wps:bodyPr>
                      </wps:wsp>
                      <wps:wsp>
                        <wps:cNvPr id="208" name="Shape 208"/>
                        <wps:cNvSpPr/>
                        <wps:spPr>
                          <a:xfrm>
                            <a:off x="2200800" y="0"/>
                            <a:ext cx="898799" cy="396000"/>
                          </a:xfrm>
                          <a:custGeom>
                            <a:avLst/>
                            <a:gdLst/>
                            <a:ahLst/>
                            <a:cxnLst/>
                            <a:rect l="0" t="0" r="0" b="0"/>
                            <a:pathLst>
                              <a:path w="898799" h="396000">
                                <a:moveTo>
                                  <a:pt x="79200" y="0"/>
                                </a:moveTo>
                                <a:lnTo>
                                  <a:pt x="819600" y="0"/>
                                </a:lnTo>
                                <a:cubicBezTo>
                                  <a:pt x="863381" y="0"/>
                                  <a:pt x="898799" y="35419"/>
                                  <a:pt x="898799" y="79200"/>
                                </a:cubicBezTo>
                                <a:lnTo>
                                  <a:pt x="898799" y="316800"/>
                                </a:lnTo>
                                <a:cubicBezTo>
                                  <a:pt x="898799" y="360582"/>
                                  <a:pt x="863381" y="396000"/>
                                  <a:pt x="819600" y="396000"/>
                                </a:cubicBezTo>
                                <a:lnTo>
                                  <a:pt x="79200" y="396000"/>
                                </a:lnTo>
                                <a:cubicBezTo>
                                  <a:pt x="35418" y="396000"/>
                                  <a:pt x="0" y="360582"/>
                                  <a:pt x="0" y="316800"/>
                                </a:cubicBezTo>
                                <a:lnTo>
                                  <a:pt x="0" y="79200"/>
                                </a:lnTo>
                                <a:cubicBezTo>
                                  <a:pt x="0" y="35419"/>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09" name="Rectangle 209"/>
                        <wps:cNvSpPr/>
                        <wps:spPr>
                          <a:xfrm>
                            <a:off x="2477399" y="96441"/>
                            <a:ext cx="459651" cy="99995"/>
                          </a:xfrm>
                          <a:prstGeom prst="rect">
                            <a:avLst/>
                          </a:prstGeom>
                          <a:ln>
                            <a:noFill/>
                          </a:ln>
                        </wps:spPr>
                        <wps:txbx>
                          <w:txbxContent>
                            <w:p w14:paraId="1DCD0354" w14:textId="77777777" w:rsidR="0021274A" w:rsidRDefault="00000000">
                              <w:pPr>
                                <w:spacing w:after="160" w:line="259" w:lineRule="auto"/>
                                <w:ind w:left="0" w:firstLine="0"/>
                                <w:jc w:val="left"/>
                              </w:pPr>
                              <w:r>
                                <w:rPr>
                                  <w:rFonts w:ascii="Arial" w:eastAsia="Arial" w:hAnsi="Arial" w:cs="Arial"/>
                                  <w:b/>
                                  <w:color w:val="17365D"/>
                                  <w:sz w:val="13"/>
                                </w:rPr>
                                <w:t>Extract +</w:t>
                              </w:r>
                            </w:p>
                          </w:txbxContent>
                        </wps:txbx>
                        <wps:bodyPr horzOverflow="overflow" vert="horz" lIns="0" tIns="0" rIns="0" bIns="0" rtlCol="0">
                          <a:noAutofit/>
                        </wps:bodyPr>
                      </wps:wsp>
                      <wps:wsp>
                        <wps:cNvPr id="210" name="Rectangle 210"/>
                        <wps:cNvSpPr/>
                        <wps:spPr>
                          <a:xfrm>
                            <a:off x="2541772" y="197241"/>
                            <a:ext cx="288417" cy="99995"/>
                          </a:xfrm>
                          <a:prstGeom prst="rect">
                            <a:avLst/>
                          </a:prstGeom>
                          <a:ln>
                            <a:noFill/>
                          </a:ln>
                        </wps:spPr>
                        <wps:txbx>
                          <w:txbxContent>
                            <w:p w14:paraId="36BC5007" w14:textId="77777777" w:rsidR="0021274A" w:rsidRDefault="00000000">
                              <w:pPr>
                                <w:spacing w:after="160" w:line="259" w:lineRule="auto"/>
                                <w:ind w:left="0" w:firstLine="0"/>
                                <w:jc w:val="left"/>
                              </w:pPr>
                              <w:r>
                                <w:rPr>
                                  <w:rFonts w:ascii="Arial" w:eastAsia="Arial" w:hAnsi="Arial" w:cs="Arial"/>
                                  <w:b/>
                                  <w:color w:val="17365D"/>
                                  <w:sz w:val="13"/>
                                </w:rPr>
                                <w:t>verify</w:t>
                              </w:r>
                            </w:p>
                          </w:txbxContent>
                        </wps:txbx>
                        <wps:bodyPr horzOverflow="overflow" vert="horz" lIns="0" tIns="0" rIns="0" bIns="0" rtlCol="0">
                          <a:noAutofit/>
                        </wps:bodyPr>
                      </wps:wsp>
                      <wps:wsp>
                        <wps:cNvPr id="211" name="Shape 211"/>
                        <wps:cNvSpPr/>
                        <wps:spPr>
                          <a:xfrm>
                            <a:off x="115200" y="648000"/>
                            <a:ext cx="898800" cy="396000"/>
                          </a:xfrm>
                          <a:custGeom>
                            <a:avLst/>
                            <a:gdLst/>
                            <a:ahLst/>
                            <a:cxnLst/>
                            <a:rect l="0" t="0" r="0" b="0"/>
                            <a:pathLst>
                              <a:path w="898800" h="396000">
                                <a:moveTo>
                                  <a:pt x="79200" y="0"/>
                                </a:moveTo>
                                <a:lnTo>
                                  <a:pt x="819600" y="0"/>
                                </a:lnTo>
                                <a:cubicBezTo>
                                  <a:pt x="863382" y="0"/>
                                  <a:pt x="898800" y="35418"/>
                                  <a:pt x="898800" y="79200"/>
                                </a:cubicBezTo>
                                <a:lnTo>
                                  <a:pt x="898800" y="316800"/>
                                </a:lnTo>
                                <a:cubicBezTo>
                                  <a:pt x="898800" y="360582"/>
                                  <a:pt x="863382" y="396000"/>
                                  <a:pt x="819600"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D8E5F0"/>
                          </a:fillRef>
                          <a:effectRef idx="0">
                            <a:scrgbClr r="0" g="0" b="0"/>
                          </a:effectRef>
                          <a:fontRef idx="none"/>
                        </wps:style>
                        <wps:bodyPr/>
                      </wps:wsp>
                      <wps:wsp>
                        <wps:cNvPr id="212" name="Rectangle 212"/>
                        <wps:cNvSpPr/>
                        <wps:spPr>
                          <a:xfrm>
                            <a:off x="409884" y="744441"/>
                            <a:ext cx="411546" cy="99995"/>
                          </a:xfrm>
                          <a:prstGeom prst="rect">
                            <a:avLst/>
                          </a:prstGeom>
                          <a:ln>
                            <a:noFill/>
                          </a:ln>
                        </wps:spPr>
                        <wps:txbx>
                          <w:txbxContent>
                            <w:p w14:paraId="2D797ED5" w14:textId="77777777" w:rsidR="0021274A" w:rsidRDefault="00000000">
                              <w:pPr>
                                <w:spacing w:after="160" w:line="259" w:lineRule="auto"/>
                                <w:ind w:left="0" w:firstLine="0"/>
                                <w:jc w:val="left"/>
                              </w:pPr>
                              <w:r>
                                <w:rPr>
                                  <w:rFonts w:ascii="Arial" w:eastAsia="Arial" w:hAnsi="Arial" w:cs="Arial"/>
                                  <w:b/>
                                  <w:color w:val="17365D"/>
                                  <w:sz w:val="13"/>
                                </w:rPr>
                                <w:t>Graph +</w:t>
                              </w:r>
                            </w:p>
                          </w:txbxContent>
                        </wps:txbx>
                        <wps:bodyPr horzOverflow="overflow" vert="horz" lIns="0" tIns="0" rIns="0" bIns="0" rtlCol="0">
                          <a:noAutofit/>
                        </wps:bodyPr>
                      </wps:wsp>
                      <wps:wsp>
                        <wps:cNvPr id="213" name="Rectangle 213"/>
                        <wps:cNvSpPr/>
                        <wps:spPr>
                          <a:xfrm>
                            <a:off x="352337" y="845241"/>
                            <a:ext cx="564619" cy="99995"/>
                          </a:xfrm>
                          <a:prstGeom prst="rect">
                            <a:avLst/>
                          </a:prstGeom>
                          <a:ln>
                            <a:noFill/>
                          </a:ln>
                        </wps:spPr>
                        <wps:txbx>
                          <w:txbxContent>
                            <w:p w14:paraId="036BE9C9" w14:textId="77777777" w:rsidR="0021274A" w:rsidRDefault="00000000">
                              <w:pPr>
                                <w:spacing w:after="160" w:line="259" w:lineRule="auto"/>
                                <w:ind w:left="0" w:firstLine="0"/>
                                <w:jc w:val="left"/>
                              </w:pPr>
                              <w:r>
                                <w:rPr>
                                  <w:rFonts w:ascii="Arial" w:eastAsia="Arial" w:hAnsi="Arial" w:cs="Arial"/>
                                  <w:b/>
                                  <w:color w:val="17365D"/>
                                  <w:sz w:val="13"/>
                                </w:rPr>
                                <w:t>digital twin</w:t>
                              </w:r>
                            </w:p>
                          </w:txbxContent>
                        </wps:txbx>
                        <wps:bodyPr horzOverflow="overflow" vert="horz" lIns="0" tIns="0" rIns="0" bIns="0" rtlCol="0">
                          <a:noAutofit/>
                        </wps:bodyPr>
                      </wps:wsp>
                      <wps:wsp>
                        <wps:cNvPr id="214" name="Shape 214"/>
                        <wps:cNvSpPr/>
                        <wps:spPr>
                          <a:xfrm>
                            <a:off x="1158000" y="648000"/>
                            <a:ext cx="898800" cy="396000"/>
                          </a:xfrm>
                          <a:custGeom>
                            <a:avLst/>
                            <a:gdLst/>
                            <a:ahLst/>
                            <a:cxnLst/>
                            <a:rect l="0" t="0" r="0" b="0"/>
                            <a:pathLst>
                              <a:path w="898800" h="396000">
                                <a:moveTo>
                                  <a:pt x="79200" y="0"/>
                                </a:moveTo>
                                <a:lnTo>
                                  <a:pt x="819601" y="0"/>
                                </a:lnTo>
                                <a:cubicBezTo>
                                  <a:pt x="863383" y="0"/>
                                  <a:pt x="898800" y="35418"/>
                                  <a:pt x="898800" y="79200"/>
                                </a:cubicBezTo>
                                <a:lnTo>
                                  <a:pt x="898800" y="316800"/>
                                </a:lnTo>
                                <a:cubicBezTo>
                                  <a:pt x="898800" y="360582"/>
                                  <a:pt x="863383" y="396000"/>
                                  <a:pt x="819601"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D8E5F0"/>
                          </a:fillRef>
                          <a:effectRef idx="0">
                            <a:scrgbClr r="0" g="0" b="0"/>
                          </a:effectRef>
                          <a:fontRef idx="none"/>
                        </wps:style>
                        <wps:bodyPr/>
                      </wps:wsp>
                      <wps:wsp>
                        <wps:cNvPr id="215" name="Rectangle 215"/>
                        <wps:cNvSpPr/>
                        <wps:spPr>
                          <a:xfrm>
                            <a:off x="1459430" y="744441"/>
                            <a:ext cx="393601" cy="99995"/>
                          </a:xfrm>
                          <a:prstGeom prst="rect">
                            <a:avLst/>
                          </a:prstGeom>
                          <a:ln>
                            <a:noFill/>
                          </a:ln>
                        </wps:spPr>
                        <wps:txbx>
                          <w:txbxContent>
                            <w:p w14:paraId="058AE0F8" w14:textId="77777777" w:rsidR="0021274A" w:rsidRDefault="00000000">
                              <w:pPr>
                                <w:spacing w:after="160" w:line="259" w:lineRule="auto"/>
                                <w:ind w:left="0" w:firstLine="0"/>
                                <w:jc w:val="left"/>
                              </w:pPr>
                              <w:r>
                                <w:rPr>
                                  <w:rFonts w:ascii="Arial" w:eastAsia="Arial" w:hAnsi="Arial" w:cs="Arial"/>
                                  <w:b/>
                                  <w:color w:val="17365D"/>
                                  <w:sz w:val="13"/>
                                </w:rPr>
                                <w:t>Score +</w:t>
                              </w:r>
                            </w:p>
                          </w:txbxContent>
                        </wps:txbx>
                        <wps:bodyPr horzOverflow="overflow" vert="horz" lIns="0" tIns="0" rIns="0" bIns="0" rtlCol="0">
                          <a:noAutofit/>
                        </wps:bodyPr>
                      </wps:wsp>
                      <wps:wsp>
                        <wps:cNvPr id="216" name="Rectangle 216"/>
                        <wps:cNvSpPr/>
                        <wps:spPr>
                          <a:xfrm>
                            <a:off x="1442524" y="845241"/>
                            <a:ext cx="438572" cy="99995"/>
                          </a:xfrm>
                          <a:prstGeom prst="rect">
                            <a:avLst/>
                          </a:prstGeom>
                          <a:ln>
                            <a:noFill/>
                          </a:ln>
                        </wps:spPr>
                        <wps:txbx>
                          <w:txbxContent>
                            <w:p w14:paraId="64F65605" w14:textId="77777777" w:rsidR="0021274A" w:rsidRDefault="00000000">
                              <w:pPr>
                                <w:spacing w:after="160" w:line="259" w:lineRule="auto"/>
                                <w:ind w:left="0" w:firstLine="0"/>
                                <w:jc w:val="left"/>
                              </w:pPr>
                              <w:r>
                                <w:rPr>
                                  <w:rFonts w:ascii="Arial" w:eastAsia="Arial" w:hAnsi="Arial" w:cs="Arial"/>
                                  <w:b/>
                                  <w:color w:val="17365D"/>
                                  <w:sz w:val="13"/>
                                </w:rPr>
                                <w:t>simulate</w:t>
                              </w:r>
                            </w:p>
                          </w:txbxContent>
                        </wps:txbx>
                        <wps:bodyPr horzOverflow="overflow" vert="horz" lIns="0" tIns="0" rIns="0" bIns="0" rtlCol="0">
                          <a:noAutofit/>
                        </wps:bodyPr>
                      </wps:wsp>
                      <wps:wsp>
                        <wps:cNvPr id="217" name="Shape 217"/>
                        <wps:cNvSpPr/>
                        <wps:spPr>
                          <a:xfrm>
                            <a:off x="2200800" y="648000"/>
                            <a:ext cx="898799" cy="396000"/>
                          </a:xfrm>
                          <a:custGeom>
                            <a:avLst/>
                            <a:gdLst/>
                            <a:ahLst/>
                            <a:cxnLst/>
                            <a:rect l="0" t="0" r="0" b="0"/>
                            <a:pathLst>
                              <a:path w="898799" h="396000">
                                <a:moveTo>
                                  <a:pt x="79200" y="0"/>
                                </a:moveTo>
                                <a:lnTo>
                                  <a:pt x="819600" y="0"/>
                                </a:lnTo>
                                <a:cubicBezTo>
                                  <a:pt x="863381" y="0"/>
                                  <a:pt x="898799" y="35418"/>
                                  <a:pt x="898799" y="79200"/>
                                </a:cubicBezTo>
                                <a:lnTo>
                                  <a:pt x="898799" y="316800"/>
                                </a:lnTo>
                                <a:cubicBezTo>
                                  <a:pt x="898799" y="360582"/>
                                  <a:pt x="863381" y="396000"/>
                                  <a:pt x="819600" y="396000"/>
                                </a:cubicBezTo>
                                <a:lnTo>
                                  <a:pt x="79200" y="396000"/>
                                </a:lnTo>
                                <a:cubicBezTo>
                                  <a:pt x="35418" y="396000"/>
                                  <a:pt x="0" y="360582"/>
                                  <a:pt x="0" y="316800"/>
                                </a:cubicBezTo>
                                <a:lnTo>
                                  <a:pt x="0" y="79200"/>
                                </a:lnTo>
                                <a:cubicBezTo>
                                  <a:pt x="0" y="35418"/>
                                  <a:pt x="35418" y="0"/>
                                  <a:pt x="79200" y="0"/>
                                </a:cubicBezTo>
                                <a:close/>
                              </a:path>
                            </a:pathLst>
                          </a:custGeom>
                          <a:ln w="12700" cap="flat">
                            <a:miter lim="127000"/>
                          </a:ln>
                        </wps:spPr>
                        <wps:style>
                          <a:lnRef idx="1">
                            <a:srgbClr val="2F75B5"/>
                          </a:lnRef>
                          <a:fillRef idx="1">
                            <a:srgbClr val="EAF2F8"/>
                          </a:fillRef>
                          <a:effectRef idx="0">
                            <a:scrgbClr r="0" g="0" b="0"/>
                          </a:effectRef>
                          <a:fontRef idx="none"/>
                        </wps:style>
                        <wps:bodyPr/>
                      </wps:wsp>
                      <wps:wsp>
                        <wps:cNvPr id="218" name="Rectangle 218"/>
                        <wps:cNvSpPr/>
                        <wps:spPr>
                          <a:xfrm>
                            <a:off x="2549698" y="744441"/>
                            <a:ext cx="267337" cy="99995"/>
                          </a:xfrm>
                          <a:prstGeom prst="rect">
                            <a:avLst/>
                          </a:prstGeom>
                          <a:ln>
                            <a:noFill/>
                          </a:ln>
                        </wps:spPr>
                        <wps:txbx>
                          <w:txbxContent>
                            <w:p w14:paraId="42354860" w14:textId="77777777" w:rsidR="0021274A" w:rsidRDefault="00000000">
                              <w:pPr>
                                <w:spacing w:after="160" w:line="259" w:lineRule="auto"/>
                                <w:ind w:left="0" w:firstLine="0"/>
                                <w:jc w:val="left"/>
                              </w:pPr>
                              <w:r>
                                <w:rPr>
                                  <w:rFonts w:ascii="Arial" w:eastAsia="Arial" w:hAnsi="Arial" w:cs="Arial"/>
                                  <w:b/>
                                  <w:color w:val="17365D"/>
                                  <w:sz w:val="13"/>
                                </w:rPr>
                                <w:t>Act +</w:t>
                              </w:r>
                            </w:p>
                          </w:txbxContent>
                        </wps:txbx>
                        <wps:bodyPr horzOverflow="overflow" vert="horz" lIns="0" tIns="0" rIns="0" bIns="0" rtlCol="0">
                          <a:noAutofit/>
                        </wps:bodyPr>
                      </wps:wsp>
                      <wps:wsp>
                        <wps:cNvPr id="219" name="Rectangle 219"/>
                        <wps:cNvSpPr/>
                        <wps:spPr>
                          <a:xfrm>
                            <a:off x="2564368" y="845241"/>
                            <a:ext cx="228313" cy="99995"/>
                          </a:xfrm>
                          <a:prstGeom prst="rect">
                            <a:avLst/>
                          </a:prstGeom>
                          <a:ln>
                            <a:noFill/>
                          </a:ln>
                        </wps:spPr>
                        <wps:txbx>
                          <w:txbxContent>
                            <w:p w14:paraId="069CAD0E" w14:textId="77777777" w:rsidR="0021274A" w:rsidRDefault="00000000">
                              <w:pPr>
                                <w:spacing w:after="160" w:line="259" w:lineRule="auto"/>
                                <w:ind w:left="0" w:firstLine="0"/>
                                <w:jc w:val="left"/>
                              </w:pPr>
                              <w:r>
                                <w:rPr>
                                  <w:rFonts w:ascii="Arial" w:eastAsia="Arial" w:hAnsi="Arial" w:cs="Arial"/>
                                  <w:b/>
                                  <w:color w:val="17365D"/>
                                  <w:sz w:val="13"/>
                                </w:rPr>
                                <w:t>alert</w:t>
                              </w:r>
                            </w:p>
                          </w:txbxContent>
                        </wps:txbx>
                        <wps:bodyPr horzOverflow="overflow" vert="horz" lIns="0" tIns="0" rIns="0" bIns="0" rtlCol="0">
                          <a:noAutofit/>
                        </wps:bodyPr>
                      </wps:wsp>
                      <wps:wsp>
                        <wps:cNvPr id="220" name="Shape 220"/>
                        <wps:cNvSpPr/>
                        <wps:spPr>
                          <a:xfrm>
                            <a:off x="1014000" y="198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1" name="Shape 221"/>
                        <wps:cNvSpPr/>
                        <wps:spPr>
                          <a:xfrm>
                            <a:off x="1071600" y="158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2" name="Shape 222"/>
                        <wps:cNvSpPr/>
                        <wps:spPr>
                          <a:xfrm>
                            <a:off x="1071600" y="198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3" name="Shape 223"/>
                        <wps:cNvSpPr/>
                        <wps:spPr>
                          <a:xfrm>
                            <a:off x="2056800" y="198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4" name="Shape 224"/>
                        <wps:cNvSpPr/>
                        <wps:spPr>
                          <a:xfrm>
                            <a:off x="2114400" y="158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5" name="Shape 225"/>
                        <wps:cNvSpPr/>
                        <wps:spPr>
                          <a:xfrm>
                            <a:off x="2114400" y="198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6" name="Shape 226"/>
                        <wps:cNvSpPr/>
                        <wps:spPr>
                          <a:xfrm>
                            <a:off x="1014000" y="846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7" name="Shape 227"/>
                        <wps:cNvSpPr/>
                        <wps:spPr>
                          <a:xfrm>
                            <a:off x="107160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8" name="Shape 228"/>
                        <wps:cNvSpPr/>
                        <wps:spPr>
                          <a:xfrm>
                            <a:off x="107160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29" name="Shape 229"/>
                        <wps:cNvSpPr/>
                        <wps:spPr>
                          <a:xfrm>
                            <a:off x="2056800" y="846000"/>
                            <a:ext cx="100800" cy="0"/>
                          </a:xfrm>
                          <a:custGeom>
                            <a:avLst/>
                            <a:gdLst/>
                            <a:ahLst/>
                            <a:cxnLst/>
                            <a:rect l="0" t="0" r="0" b="0"/>
                            <a:pathLst>
                              <a:path w="100800">
                                <a:moveTo>
                                  <a:pt x="0" y="0"/>
                                </a:moveTo>
                                <a:lnTo>
                                  <a:pt x="1008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0" name="Shape 230"/>
                        <wps:cNvSpPr/>
                        <wps:spPr>
                          <a:xfrm>
                            <a:off x="211440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1" name="Shape 231"/>
                        <wps:cNvSpPr/>
                        <wps:spPr>
                          <a:xfrm>
                            <a:off x="211440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2" name="Shape 232"/>
                        <wps:cNvSpPr/>
                        <wps:spPr>
                          <a:xfrm>
                            <a:off x="2650200" y="396000"/>
                            <a:ext cx="0" cy="180000"/>
                          </a:xfrm>
                          <a:custGeom>
                            <a:avLst/>
                            <a:gdLst/>
                            <a:ahLst/>
                            <a:cxnLst/>
                            <a:rect l="0" t="0" r="0" b="0"/>
                            <a:pathLst>
                              <a:path h="180000">
                                <a:moveTo>
                                  <a:pt x="0" y="0"/>
                                </a:moveTo>
                                <a:lnTo>
                                  <a:pt x="0" y="1800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3" name="Shape 233"/>
                        <wps:cNvSpPr/>
                        <wps:spPr>
                          <a:xfrm>
                            <a:off x="43200" y="576000"/>
                            <a:ext cx="2607000" cy="0"/>
                          </a:xfrm>
                          <a:custGeom>
                            <a:avLst/>
                            <a:gdLst/>
                            <a:ahLst/>
                            <a:cxnLst/>
                            <a:rect l="0" t="0" r="0" b="0"/>
                            <a:pathLst>
                              <a:path w="2607000">
                                <a:moveTo>
                                  <a:pt x="2607000" y="0"/>
                                </a:moveTo>
                                <a:lnTo>
                                  <a:pt x="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4" name="Shape 234"/>
                        <wps:cNvSpPr/>
                        <wps:spPr>
                          <a:xfrm>
                            <a:off x="43200" y="576000"/>
                            <a:ext cx="0" cy="270000"/>
                          </a:xfrm>
                          <a:custGeom>
                            <a:avLst/>
                            <a:gdLst/>
                            <a:ahLst/>
                            <a:cxnLst/>
                            <a:rect l="0" t="0" r="0" b="0"/>
                            <a:pathLst>
                              <a:path h="270000">
                                <a:moveTo>
                                  <a:pt x="0" y="0"/>
                                </a:moveTo>
                                <a:lnTo>
                                  <a:pt x="0" y="2700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5" name="Shape 235"/>
                        <wps:cNvSpPr/>
                        <wps:spPr>
                          <a:xfrm>
                            <a:off x="0" y="806400"/>
                            <a:ext cx="43200" cy="39600"/>
                          </a:xfrm>
                          <a:custGeom>
                            <a:avLst/>
                            <a:gdLst/>
                            <a:ahLst/>
                            <a:cxnLst/>
                            <a:rect l="0" t="0" r="0" b="0"/>
                            <a:pathLst>
                              <a:path w="43200" h="39600">
                                <a:moveTo>
                                  <a:pt x="0" y="0"/>
                                </a:moveTo>
                                <a:lnTo>
                                  <a:pt x="43200" y="3960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s:wsp>
                        <wps:cNvPr id="236" name="Shape 236"/>
                        <wps:cNvSpPr/>
                        <wps:spPr>
                          <a:xfrm>
                            <a:off x="0" y="846000"/>
                            <a:ext cx="43200" cy="39600"/>
                          </a:xfrm>
                          <a:custGeom>
                            <a:avLst/>
                            <a:gdLst/>
                            <a:ahLst/>
                            <a:cxnLst/>
                            <a:rect l="0" t="0" r="0" b="0"/>
                            <a:pathLst>
                              <a:path w="43200" h="39600">
                                <a:moveTo>
                                  <a:pt x="0" y="39600"/>
                                </a:moveTo>
                                <a:lnTo>
                                  <a:pt x="43200" y="0"/>
                                </a:lnTo>
                              </a:path>
                            </a:pathLst>
                          </a:custGeom>
                          <a:ln w="12700" cap="flat">
                            <a:miter lim="127000"/>
                          </a:ln>
                        </wps:spPr>
                        <wps:style>
                          <a:lnRef idx="1">
                            <a:srgbClr val="2F75B5"/>
                          </a:lnRef>
                          <a:fillRef idx="0">
                            <a:srgbClr val="000000">
                              <a:alpha val="0"/>
                            </a:srgbClr>
                          </a:fillRef>
                          <a:effectRef idx="0">
                            <a:scrgbClr r="0" g="0" b="0"/>
                          </a:effectRef>
                          <a:fontRef idx="none"/>
                        </wps:style>
                        <wps:bodyPr/>
                      </wps:wsp>
                    </wpg:wgp>
                  </a:graphicData>
                </a:graphic>
              </wp:inline>
            </w:drawing>
          </mc:Choice>
          <mc:Fallback>
            <w:pict>
              <v:group w14:anchorId="788CF7C7" id="Group 15278" o:spid="_x0000_s1026" style="width:244.05pt;height:82.2pt;mso-position-horizontal-relative:char;mso-position-vertical-relative:line" coordsize="30996,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mbyLwkAAFdtAAAOAAAAZHJzL2Uyb0RvYy54bWzsXdtu3DYQfS/QfxD2vVlRdy3iBGkTBwWK&#10;pujlA2RZ611AKy0k+ZJ+fYdDDS/S2pZSwOvsMg+OLJISOcOZOZxDym/fP+xK565o2m1dXSzYG3fh&#10;FFVeX2+rm4vFP39f/pQsnLbLquusrKviYvG1aBfv3/34w9v7/arw6k1dXheNAw+p2tX9/mKx6br9&#10;arls802xy9o39b6ooHBdN7usg1+bm+V1k93D03fl0nPdaHlfN9f7ps6LtoW7H0Xh4h0+f70u8u7L&#10;et0WnVNeLKBvHf5s8OcV/7l89zZb3TTZfrPN+25k39CLXbat4KXyUR+zLnNum+3oUbtt3tRtve7e&#10;5PVuWa/X27zAMcBomDsYzeemvt3jWG5W9zd7KSYQ7UBO3/zY/Pe7z83+r/0fDUjifn8DssDf+Fge&#10;1s2O/w+9dB5QZF+lyIqHzsnhpu+maeSCZHMoY24QuPALCjXfgORH7fLNp2daLunFS6M793uYIK2S&#10;Qfv/ZPDXJtsXKNp2BTL4o3G21xcLz/UWTpXtYKJiBYffQMFgLSmmdtWCxA7IiLEQZuXCGQsqSZOE&#10;5ORzkaGY5GCzVX7bdp+LGiWe3f3WdmJqXtNVtqGr/KGiywYm+JNTe591vB3vKr907i8W1JMNaE90&#10;hJfu6rvi7xrrdVxrcWoMBDqqapSVXjNhYgbQmKEqVchvr7b5z8W/RvXI9xMQM1WHjuELqVtw3w8D&#10;lopZNCoT/QLZwGvMx9NLR018FnHRizZUy2w7bhO5IfQSddAXqn4r/cnOKxmowmd6qCRsNHmqg1ww&#10;4FC5iOQUoi6IWeeP+t3f12Vgjp1eKIYpqutSpnKzlV57pC/Vz94ZiNpqxKQN85l5WbeFUBOfrKhj&#10;OYFRmspEyorPZebFaFQZhI51mXXog3fbDmJKud315fSysoIncj8ijBevuq9lwSd9Wf1ZrMEHwMxn&#10;+JC2ubn6pWycuwwih3cZhz+HcgZBVd5mvS3Lp1p9+nDpXSZ9q74yb1dgXJItXfG+vH+hCE7g4kET&#10;FKJg7LIRvrmuOtm+gsCKL9EGxC+v6uuv6NZxzOA7uYN/ESfqkxP9E9xTVt2UBThSn/eRdwDc7fOO&#10;NPD8gMU41dMoCBhvDEKg2BGHYQCGwINOCv9INRSx9o2YKA6/uFhwL4lCJr8K8qQq/LF8YmSrqr4E&#10;hYrpd2CqdA9XD/0IhGSdTd38+wWwz7qsYSqC/8SrBYdD8FJeunDKXyuIVKDKji4auriii6Yrf6kR&#10;n4hufLjt6vWW+3/UnHhb/8tLqjE4pMZglhp95iepcPYsjb2hHqMoShJ4zUvrEYM9zillKCevzpDU&#10;SdAGrWayRQK0gSgqwkPv1ckcKXRzNarABEZG9vh9YxumwAqM6alwmHCMAN4P5GAEPhIQl8+rxTai&#10;30p/BCwQ3wkZqEIQhBm7SSzDSG80oUpmU9FEYQbVhLogZp3FNgDCLbZRLpsi5EsGxYi8qI5tollB&#10;kQV+lMTgjjl6GYObIPTD9AjgRqyAaSRngnEAYor1vq7OmIQwCaoyAKpRKrznIZATukHkAQY6CsiR&#10;qPtM9Al2Y+ZvcP01GeR4kPTANI2K4BrIidNUqFFFqCOBHOzJMRM4GiaiIA0gB7v1CMihMj21YOIA&#10;QgcCD+iP05MXVMtsO24zSoQgOBviGNl5m8DhTo/EocCYgWNtAgcTPzIXIxJGp5fAATc3joqYkZ3u&#10;SYM49rm/fAzkpFEIxniUoChzGOcRFBksn0bqhJt9NmsSyPFg2RrHj2dyPMjjMABTR9GnTGSciT7B&#10;bgyQw2Qqa5IuNZIqCjCng55fAzoIgU40m6NlsKZkc55nqhBhUuDUMj0zgA5BTstUQYJMB3smyCPo&#10;J8CeUKQuZSo3W+m1Ba6xQCdbGfzWx+RTeIkBAUzijJgqBtY9jozzKP/ABWYfOAzAOXEA/wZUVQDe&#10;NoCk0VECo8xLnUlgPEQ8MpkCmRQc/dDzfUE8JkE4YqzCKIhgb8Jx1CnzUmeiTklA9owVk8B9kip1&#10;xuoMgY6WopkCdJ6nrV4n0LG0lbm/qufKcKeQBToW6OC+RibJf43ngJtzUgAsCNPA71H3AaTjp0DQ&#10;HiulI9P8ZxIaD9GQTMK9aeExCDwAOIhcD0GdwE9CnvE5CnKVycYz0afkIQnqSKw3SZc6b/UI1LHk&#10;Fd/WrJFABrOhs03D0KmV6dkGM8tAuYcxEaXnM6iW2XbcxpJXlI14SmIW6jyxZ/lcdx/zDfLjnI7E&#10;B9PcaRikEd+D80hSx4tiTBIcJTQq5uZMYuMhNlKcD5nORkLeBjZdPYp1PC+BrcpHwjqKvjkPhXrg&#10;tw3+Cm7MWoi4DI+Zcetk6ZjAYv0eHm6dFEZefCdy3wm+pUIdnNKpCOqZKqVQJ2rRKLRBiAqQzPnu&#10;Tsf0WyT0MzWwl5xvJ+cCysr9JhMnbUgqPT2BR4DOiJDwhtQu3JhnGjHD45jcNMIEzIQ3VwdnAh9P&#10;9XHLwD1svBTm04tbR98P2sGGs0AZwhwz6Z80GJC1lFPfo8R31JpBZB5tx1zNUg4Eke/PUnSDVrZk&#10;BhVlLeRoraWcvKVIVrTPLXnzGFHPDfH8tIVbiLvwND3ETP1M22s7jGzh1uBLGjjzAWX0C0b63APP&#10;fptBZB7D7DHGv3iBy0oLt+zCRJ7JP7kt4Z4kECmIzCMPDUuxcMsu4SlzfXqWIqlZspSZtKyW3UoC&#10;+lCQWsJTXshmt17Nt18s3JoIt4YstzeP5dbX7Ikb2eyWzQOf6Ak8T5KYFETmEZiGpRwIIja7Jb4f&#10;93q/J2ZjysSYItlhshS5dWwa1a9ltyzcEt+KtNkt+PDf9/8dPr5X18huwY05ZKK+Zrdwy2a3Tje7&#10;5Q9pd7jxzZZi4ZbNbp1sdssf0u5wY5alRKFLH5ZWX1FS2S0IWTyxxfiuLqKoX3Z3CuxJ6d/+7Xu3&#10;ekZIH4Tl2U+dZ/eHPDvcmGMaam9GGI/Tvl7kwqeue/M4jmXAR46pF4dMg8r4PgHq4GP7UISBUC1r&#10;GydvG0Oi3Z9HtD9tG71VcD7geEGjf/shyzBn+9M2YQzCGsbJG8aQV/fn8epiatnVuV2dn/DqfMio&#10;+/MY9d5G7LrcrsuPsC7HP2MFf70LD1r0f2mM/3kw/Xe41v8e2rv/AAAA//8DAFBLAwQUAAYACAAA&#10;ACEAjyAL39wAAAAFAQAADwAAAGRycy9kb3ducmV2LnhtbEyPQUvDQBCF74L/YRnBm91EYwkxm1KK&#10;eiqCrSDepsk0Cc3Ohuw2Sf+9oxe9PBje471v8tVsOzXS4FvHBuJFBIq4dFXLtYGP/ctdCsoH5Ao7&#10;x2TgQh5WxfVVjlnlJn6ncRdqJSXsMzTQhNBnWvuyIYt+4Xpi8Y5usBjkHGpdDThJue30fRQttcWW&#10;ZaHBnjYNlafd2Rp4nXBaP8TP4/Z03Fy+9o9vn9uYjLm9mddPoALN4S8MP/iCDoUwHdyZK686A/JI&#10;+FXxkjSNQR0ktEwS0EWu/9MX3wAAAP//AwBQSwECLQAUAAYACAAAACEAtoM4kv4AAADhAQAAEwAA&#10;AAAAAAAAAAAAAAAAAAAAW0NvbnRlbnRfVHlwZXNdLnhtbFBLAQItABQABgAIAAAAIQA4/SH/1gAA&#10;AJQBAAALAAAAAAAAAAAAAAAAAC8BAABfcmVscy8ucmVsc1BLAQItABQABgAIAAAAIQC9AmbyLwkA&#10;AFdtAAAOAAAAAAAAAAAAAAAAAC4CAABkcnMvZTJvRG9jLnhtbFBLAQItABQABgAIAAAAIQCPIAvf&#10;3AAAAAUBAAAPAAAAAAAAAAAAAAAAAIkLAABkcnMvZG93bnJldi54bWxQSwUGAAAAAAQABADzAAAA&#10;kgwAAAAA&#10;">
                <v:shape id="Shape 202" o:spid="_x0000_s1027" style="position:absolute;left:1152;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fZxAAAANwAAAAPAAAAZHJzL2Rvd25yZXYueG1sRI9Ba8JA&#10;FITvhf6H5Qm9NRtzKCFmFSm0KLSWant/ZJ9JMPs27m5i/PeuUOhxmJlvmHI1mU6M5HxrWcE8SUEQ&#10;V1a3XCv4Obw95yB8QNbYWSYFV/KwWj4+lFhoe+FvGvehFhHCvkAFTQh9IaWvGjLoE9sTR+9oncEQ&#10;pauldniJcNPJLE1fpMGW40KDPb02VJ32g1HQnvPT9mv7GVw+nH93B3zfuI9MqafZtF6ACDSF//Bf&#10;e6MVZGkG9zPxCMjlDQAA//8DAFBLAQItABQABgAIAAAAIQDb4fbL7gAAAIUBAAATAAAAAAAAAAAA&#10;AAAAAAAAAABbQ29udGVudF9UeXBlc10ueG1sUEsBAi0AFAAGAAgAAAAhAFr0LFu/AAAAFQEAAAsA&#10;AAAAAAAAAAAAAAAAHwEAAF9yZWxzLy5yZWxzUEsBAi0AFAAGAAgAAAAhADCuJ9nEAAAA3AAAAA8A&#10;AAAAAAAAAAAAAAAABwIAAGRycy9kb3ducmV2LnhtbFBLBQYAAAAAAwADALcAAAD4AgAAAAA=&#10;" path="m79200,l819600,v43782,,79200,35419,79200,79200l898800,316800v,43782,-35418,79200,-79200,79200l79200,396000c35418,396000,,360582,,316800l,79200c,35419,35418,,79200,xe" fillcolor="#eaf2f8" strokecolor="#2f75b5" strokeweight="1pt">
                  <v:stroke miterlimit="83231f" joinstyle="miter"/>
                  <v:path arrowok="t" textboxrect="0,0,898800,396000"/>
                </v:shape>
                <v:rect id="Rectangle 203" o:spid="_x0000_s1028" style="position:absolute;left:4234;top:964;width:3755;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492F448F" w14:textId="77777777" w:rsidR="0021274A" w:rsidRDefault="00000000">
                        <w:pPr>
                          <w:spacing w:after="160" w:line="259" w:lineRule="auto"/>
                          <w:ind w:left="0" w:firstLine="0"/>
                          <w:jc w:val="left"/>
                        </w:pPr>
                        <w:r>
                          <w:rPr>
                            <w:rFonts w:ascii="Arial" w:eastAsia="Arial" w:hAnsi="Arial" w:cs="Arial"/>
                            <w:b/>
                            <w:color w:val="17365D"/>
                            <w:sz w:val="13"/>
                          </w:rPr>
                          <w:t>News +</w:t>
                        </w:r>
                      </w:p>
                    </w:txbxContent>
                  </v:textbox>
                </v:rect>
                <v:rect id="Rectangle 204" o:spid="_x0000_s1029" style="position:absolute;left:3138;top:1972;width:6669;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20C61FE" w14:textId="77777777" w:rsidR="0021274A" w:rsidRDefault="00000000">
                        <w:pPr>
                          <w:spacing w:after="160" w:line="259" w:lineRule="auto"/>
                          <w:ind w:left="0" w:firstLine="0"/>
                          <w:jc w:val="left"/>
                        </w:pPr>
                        <w:r>
                          <w:rPr>
                            <w:rFonts w:ascii="Arial" w:eastAsia="Arial" w:hAnsi="Arial" w:cs="Arial"/>
                            <w:b/>
                            <w:color w:val="17365D"/>
                            <w:sz w:val="13"/>
                          </w:rPr>
                          <w:t>external data</w:t>
                        </w:r>
                      </w:p>
                    </w:txbxContent>
                  </v:textbox>
                </v:rect>
                <v:shape id="Shape 205" o:spid="_x0000_s1030" style="position:absolute;left:115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txAAAANwAAAAPAAAAZHJzL2Rvd25yZXYueG1sRI9Ba8JA&#10;FITvQv/D8gq96aYBJaSuoRQqClWptvdH9jUJyb6Nu6vGf+8KQo/DzHzDzIvBdOJMzjeWFbxOEhDE&#10;pdUNVwp+Dp/jDIQPyBo7y6TgSh6KxdNojrm2F/6m8z5UIkLY56igDqHPpfRlTQb9xPbE0fuzzmCI&#10;0lVSO7xEuOlkmiQzabDhuFBjTx81le3+ZBQ0x6xd79ab4LLT8Xd7wOXKfaVKvTwP728gAg3hP/xo&#10;r7SCNJnC/Uw8AnJxAwAA//8DAFBLAQItABQABgAIAAAAIQDb4fbL7gAAAIUBAAATAAAAAAAAAAAA&#10;AAAAAAAAAABbQ29udGVudF9UeXBlc10ueG1sUEsBAi0AFAAGAAgAAAAhAFr0LFu/AAAAFQEAAAsA&#10;AAAAAAAAAAAAAAAAHwEAAF9yZWxzLy5yZWxzUEsBAi0AFAAGAAgAAAAhAL9Hv63EAAAA3AAAAA8A&#10;AAAAAAAAAAAAAAAABwIAAGRycy9kb3ducmV2LnhtbFBLBQYAAAAAAwADALcAAAD4AgAAAAA=&#10;" path="m79200,l819601,v43782,,79199,35419,79199,79200l898800,316800v,43782,-35417,79200,-79199,79200l79200,396000c35418,396000,,360582,,316800l,79200c,35419,35418,,79200,xe" fillcolor="#eaf2f8" strokecolor="#2f75b5" strokeweight="1pt">
                  <v:stroke miterlimit="83231f" joinstyle="miter"/>
                  <v:path arrowok="t" textboxrect="0,0,898800,396000"/>
                </v:shape>
                <v:rect id="Rectangle 206" o:spid="_x0000_s1031" style="position:absolute;left:14368;top:964;width:453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4FB4ABF" w14:textId="266ECBA6" w:rsidR="0021274A" w:rsidRDefault="00C37581">
                        <w:pPr>
                          <w:spacing w:after="160" w:line="259" w:lineRule="auto"/>
                          <w:ind w:left="0" w:firstLine="0"/>
                          <w:jc w:val="left"/>
                        </w:pPr>
                        <w:r>
                          <w:rPr>
                            <w:rFonts w:ascii="Arial" w:eastAsia="Arial" w:hAnsi="Arial" w:cs="Arial"/>
                            <w:b/>
                            <w:color w:val="17365D"/>
                            <w:sz w:val="13"/>
                          </w:rPr>
                          <w:t>Scraping +</w:t>
                        </w:r>
                      </w:p>
                    </w:txbxContent>
                  </v:textbox>
                </v:rect>
                <v:rect id="Rectangle 207" o:spid="_x0000_s1032" style="position:absolute;left:14176;top:1972;width:5047;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08B1F33A" w14:textId="77777777" w:rsidR="0021274A" w:rsidRDefault="00000000">
                        <w:pPr>
                          <w:spacing w:after="160" w:line="259" w:lineRule="auto"/>
                          <w:ind w:left="0" w:firstLine="0"/>
                          <w:jc w:val="left"/>
                        </w:pPr>
                        <w:r>
                          <w:rPr>
                            <w:rFonts w:ascii="Arial" w:eastAsia="Arial" w:hAnsi="Arial" w:cs="Arial"/>
                            <w:b/>
                            <w:color w:val="17365D"/>
                            <w:sz w:val="13"/>
                          </w:rPr>
                          <w:t>normalize</w:t>
                        </w:r>
                      </w:p>
                    </w:txbxContent>
                  </v:textbox>
                </v:rect>
                <v:shape id="Shape 208" o:spid="_x0000_s1033" style="position:absolute;left:22008;width:8987;height:3960;visibility:visible;mso-wrap-style:square;v-text-anchor:top" coordsize="898799,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sM9vQAAANwAAAAPAAAAZHJzL2Rvd25yZXYueG1sRI/BDsFA&#10;EIbvEu+wGYmLsOUglCVCJBzRBxjd0ZbubHUX9fZWInGc/PN/M9982ZhSPKl2hWUFw0EEgji1uuBM&#10;QXLa9icgnEfWWFomBW9ysFy0W3OMtX3xgZ5Hn4kAYRejgtz7KpbSpTkZdANbEYfsYmuDPox1JnWN&#10;rwA3pRxF0VgaLDhcyLGidU7p7fgwX0rZI3zc384kW+Tp5Xre40apbqdZzUB4avx/+dfeaQWjKHwb&#10;ZIIIyMUHAAD//wMAUEsBAi0AFAAGAAgAAAAhANvh9svuAAAAhQEAABMAAAAAAAAAAAAAAAAAAAAA&#10;AFtDb250ZW50X1R5cGVzXS54bWxQSwECLQAUAAYACAAAACEAWvQsW78AAAAVAQAACwAAAAAAAAAA&#10;AAAAAAAfAQAAX3JlbHMvLnJlbHNQSwECLQAUAAYACAAAACEAwKLDPb0AAADcAAAADwAAAAAAAAAA&#10;AAAAAAAHAgAAZHJzL2Rvd25yZXYueG1sUEsFBgAAAAADAAMAtwAAAPECAAAAAA==&#10;" path="m79200,l819600,v43781,,79199,35419,79199,79200l898799,316800v,43782,-35418,79200,-79199,79200l79200,396000c35418,396000,,360582,,316800l,79200c,35419,35418,,79200,xe" fillcolor="#eaf2f8" strokecolor="#2f75b5" strokeweight="1pt">
                  <v:stroke miterlimit="83231f" joinstyle="miter"/>
                  <v:path arrowok="t" textboxrect="0,0,898799,396000"/>
                </v:shape>
                <v:rect id="Rectangle 209" o:spid="_x0000_s1034" style="position:absolute;left:24773;top:964;width:4597;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DCD0354" w14:textId="77777777" w:rsidR="0021274A" w:rsidRDefault="00000000">
                        <w:pPr>
                          <w:spacing w:after="160" w:line="259" w:lineRule="auto"/>
                          <w:ind w:left="0" w:firstLine="0"/>
                          <w:jc w:val="left"/>
                        </w:pPr>
                        <w:r>
                          <w:rPr>
                            <w:rFonts w:ascii="Arial" w:eastAsia="Arial" w:hAnsi="Arial" w:cs="Arial"/>
                            <w:b/>
                            <w:color w:val="17365D"/>
                            <w:sz w:val="13"/>
                          </w:rPr>
                          <w:t>Extract +</w:t>
                        </w:r>
                      </w:p>
                    </w:txbxContent>
                  </v:textbox>
                </v:rect>
                <v:rect id="Rectangle 210" o:spid="_x0000_s1035" style="position:absolute;left:25417;top:1972;width:2884;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6BC5007" w14:textId="77777777" w:rsidR="0021274A" w:rsidRDefault="00000000">
                        <w:pPr>
                          <w:spacing w:after="160" w:line="259" w:lineRule="auto"/>
                          <w:ind w:left="0" w:firstLine="0"/>
                          <w:jc w:val="left"/>
                        </w:pPr>
                        <w:r>
                          <w:rPr>
                            <w:rFonts w:ascii="Arial" w:eastAsia="Arial" w:hAnsi="Arial" w:cs="Arial"/>
                            <w:b/>
                            <w:color w:val="17365D"/>
                            <w:sz w:val="13"/>
                          </w:rPr>
                          <w:t>verify</w:t>
                        </w:r>
                      </w:p>
                    </w:txbxContent>
                  </v:textbox>
                </v:rect>
                <v:shape id="Shape 211" o:spid="_x0000_s1036" style="position:absolute;left:1152;top:64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9fwwAAANwAAAAPAAAAZHJzL2Rvd25yZXYueG1sRI9Ba8JA&#10;FITvBf/D8gRvdZMIRaKrqCAUioWqeH5kn0kw+zbJrrr5926h0OMwM98wy3UwjXhQ72rLCtJpAoK4&#10;sLrmUsH5tH+fg3AeWWNjmRQM5GC9Gr0tMdf2yT/0OPpSRAi7HBVU3re5lK6oyKCb2pY4elfbG/RR&#10;9qXUPT4j3DQyS5IPabDmuFBhS7uKitvxbhR04fQ9Jz0L3dDh4euS7eV2SJWajMNmAcJT8P/hv/an&#10;VpClKfyeiUdArl4AAAD//wMAUEsBAi0AFAAGAAgAAAAhANvh9svuAAAAhQEAABMAAAAAAAAAAAAA&#10;AAAAAAAAAFtDb250ZW50X1R5cGVzXS54bWxQSwECLQAUAAYACAAAACEAWvQsW78AAAAVAQAACwAA&#10;AAAAAAAAAAAAAAAfAQAAX3JlbHMvLnJlbHNQSwECLQAUAAYACAAAACEAhYt/X8MAAADcAAAADwAA&#10;AAAAAAAAAAAAAAAHAgAAZHJzL2Rvd25yZXYueG1sUEsFBgAAAAADAAMAtwAAAPcCAAAAAA==&#10;" path="m79200,l819600,v43782,,79200,35418,79200,79200l898800,316800v,43782,-35418,79200,-79200,79200l79200,396000c35418,396000,,360582,,316800l,79200c,35418,35418,,79200,xe" fillcolor="#d8e5f0" strokecolor="#2f75b5" strokeweight="1pt">
                  <v:stroke miterlimit="83231f" joinstyle="miter"/>
                  <v:path arrowok="t" textboxrect="0,0,898800,396000"/>
                </v:shape>
                <v:rect id="Rectangle 212" o:spid="_x0000_s1037" style="position:absolute;left:4098;top:7444;width:411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D797ED5" w14:textId="77777777" w:rsidR="0021274A" w:rsidRDefault="00000000">
                        <w:pPr>
                          <w:spacing w:after="160" w:line="259" w:lineRule="auto"/>
                          <w:ind w:left="0" w:firstLine="0"/>
                          <w:jc w:val="left"/>
                        </w:pPr>
                        <w:r>
                          <w:rPr>
                            <w:rFonts w:ascii="Arial" w:eastAsia="Arial" w:hAnsi="Arial" w:cs="Arial"/>
                            <w:b/>
                            <w:color w:val="17365D"/>
                            <w:sz w:val="13"/>
                          </w:rPr>
                          <w:t>Graph +</w:t>
                        </w:r>
                      </w:p>
                    </w:txbxContent>
                  </v:textbox>
                </v:rect>
                <v:rect id="Rectangle 213" o:spid="_x0000_s1038" style="position:absolute;left:3523;top:8452;width:564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36BE9C9" w14:textId="77777777" w:rsidR="0021274A" w:rsidRDefault="00000000">
                        <w:pPr>
                          <w:spacing w:after="160" w:line="259" w:lineRule="auto"/>
                          <w:ind w:left="0" w:firstLine="0"/>
                          <w:jc w:val="left"/>
                        </w:pPr>
                        <w:r>
                          <w:rPr>
                            <w:rFonts w:ascii="Arial" w:eastAsia="Arial" w:hAnsi="Arial" w:cs="Arial"/>
                            <w:b/>
                            <w:color w:val="17365D"/>
                            <w:sz w:val="13"/>
                          </w:rPr>
                          <w:t>digital twin</w:t>
                        </w:r>
                      </w:p>
                    </w:txbxContent>
                  </v:textbox>
                </v:rect>
                <v:shape id="Shape 214" o:spid="_x0000_s1039" style="position:absolute;left:11580;top:6480;width:8988;height:3960;visibility:visible;mso-wrap-style:square;v-text-anchor:top" coordsize="8988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HwwAAANwAAAAPAAAAZHJzL2Rvd25yZXYueG1sRI9Ba8JA&#10;FITvBf/D8gRvdZNYikRXUUEolApV8fzIPpNg9m2S3erm33eFQo/DzHzDLNfBNOJOvastK0inCQji&#10;wuqaSwXn0/51DsJ5ZI2NZVIwkIP1avSyxFzbB3/T/ehLESHsclRQed/mUrqiIoNualvi6F1tb9BH&#10;2ZdS9/iIcNPILEnepcGa40KFLe0qKm7HH6OgC6fDnPQsdEOHX5+XbC+3Q6rUZBw2CxCegv8P/7U/&#10;tIIsfYPnmXgE5OoXAAD//wMAUEsBAi0AFAAGAAgAAAAhANvh9svuAAAAhQEAABMAAAAAAAAAAAAA&#10;AAAAAAAAAFtDb250ZW50X1R5cGVzXS54bWxQSwECLQAUAAYACAAAACEAWvQsW78AAAAVAQAACwAA&#10;AAAAAAAAAAAAAAAfAQAAX3JlbHMvLnJlbHNQSwECLQAUAAYACAAAACEAlfzcx8MAAADcAAAADwAA&#10;AAAAAAAAAAAAAAAHAgAAZHJzL2Rvd25yZXYueG1sUEsFBgAAAAADAAMAtwAAAPcCAAAAAA==&#10;" path="m79200,l819601,v43782,,79199,35418,79199,79200l898800,316800v,43782,-35417,79200,-79199,79200l79200,396000c35418,396000,,360582,,316800l,79200c,35418,35418,,79200,xe" fillcolor="#d8e5f0" strokecolor="#2f75b5" strokeweight="1pt">
                  <v:stroke miterlimit="83231f" joinstyle="miter"/>
                  <v:path arrowok="t" textboxrect="0,0,898800,396000"/>
                </v:shape>
                <v:rect id="Rectangle 215" o:spid="_x0000_s1040" style="position:absolute;left:14594;top:7444;width:3936;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58AE0F8" w14:textId="77777777" w:rsidR="0021274A" w:rsidRDefault="00000000">
                        <w:pPr>
                          <w:spacing w:after="160" w:line="259" w:lineRule="auto"/>
                          <w:ind w:left="0" w:firstLine="0"/>
                          <w:jc w:val="left"/>
                        </w:pPr>
                        <w:r>
                          <w:rPr>
                            <w:rFonts w:ascii="Arial" w:eastAsia="Arial" w:hAnsi="Arial" w:cs="Arial"/>
                            <w:b/>
                            <w:color w:val="17365D"/>
                            <w:sz w:val="13"/>
                          </w:rPr>
                          <w:t>Score +</w:t>
                        </w:r>
                      </w:p>
                    </w:txbxContent>
                  </v:textbox>
                </v:rect>
                <v:rect id="Rectangle 216" o:spid="_x0000_s1041" style="position:absolute;left:14425;top:8452;width:4385;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4F65605" w14:textId="77777777" w:rsidR="0021274A" w:rsidRDefault="00000000">
                        <w:pPr>
                          <w:spacing w:after="160" w:line="259" w:lineRule="auto"/>
                          <w:ind w:left="0" w:firstLine="0"/>
                          <w:jc w:val="left"/>
                        </w:pPr>
                        <w:r>
                          <w:rPr>
                            <w:rFonts w:ascii="Arial" w:eastAsia="Arial" w:hAnsi="Arial" w:cs="Arial"/>
                            <w:b/>
                            <w:color w:val="17365D"/>
                            <w:sz w:val="13"/>
                          </w:rPr>
                          <w:t>simulate</w:t>
                        </w:r>
                      </w:p>
                    </w:txbxContent>
                  </v:textbox>
                </v:rect>
                <v:shape id="Shape 217" o:spid="_x0000_s1042" style="position:absolute;left:22008;top:6480;width:8987;height:3960;visibility:visible;mso-wrap-style:square;v-text-anchor:top" coordsize="898799,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MGSvgAAANwAAAAPAAAAZHJzL2Rvd25yZXYueG1sRI/NCsIw&#10;EITvgu8QVvAimurBn2oUUQQ9+vMAa7O21WZTm6j17Y0geBxm5htmtqhNIZ5Uudyygn4vAkGcWJ1z&#10;quB03HTHIJxH1lhYJgVvcrCYNxszjLV98Z6eB5+KAGEXo4LM+zKW0iUZGXQ9WxIH72Irgz7IKpW6&#10;wleAm0IOomgoDeYcFjIsaZVRcjs8zJdSdAgf97czpw3y5HI973CtVLtVL6cgPNX+H/61t1rBoD+C&#10;75lwBOT8AwAA//8DAFBLAQItABQABgAIAAAAIQDb4fbL7gAAAIUBAAATAAAAAAAAAAAAAAAAAAAA&#10;AABbQ29udGVudF9UeXBlc10ueG1sUEsBAi0AFAAGAAgAAAAhAFr0LFu/AAAAFQEAAAsAAAAAAAAA&#10;AAAAAAAAHwEAAF9yZWxzLy5yZWxzUEsBAi0AFAAGAAgAAAAhADTkwZK+AAAA3AAAAA8AAAAAAAAA&#10;AAAAAAAABwIAAGRycy9kb3ducmV2LnhtbFBLBQYAAAAAAwADALcAAADyAgAAAAA=&#10;" path="m79200,l819600,v43781,,79199,35418,79199,79200l898799,316800v,43782,-35418,79200,-79199,79200l79200,396000c35418,396000,,360582,,316800l,79200c,35418,35418,,79200,xe" fillcolor="#eaf2f8" strokecolor="#2f75b5" strokeweight="1pt">
                  <v:stroke miterlimit="83231f" joinstyle="miter"/>
                  <v:path arrowok="t" textboxrect="0,0,898799,396000"/>
                </v:shape>
                <v:rect id="Rectangle 218" o:spid="_x0000_s1043" style="position:absolute;left:25496;top:7444;width:2674;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42354860" w14:textId="77777777" w:rsidR="0021274A" w:rsidRDefault="00000000">
                        <w:pPr>
                          <w:spacing w:after="160" w:line="259" w:lineRule="auto"/>
                          <w:ind w:left="0" w:firstLine="0"/>
                          <w:jc w:val="left"/>
                        </w:pPr>
                        <w:r>
                          <w:rPr>
                            <w:rFonts w:ascii="Arial" w:eastAsia="Arial" w:hAnsi="Arial" w:cs="Arial"/>
                            <w:b/>
                            <w:color w:val="17365D"/>
                            <w:sz w:val="13"/>
                          </w:rPr>
                          <w:t>Act +</w:t>
                        </w:r>
                      </w:p>
                    </w:txbxContent>
                  </v:textbox>
                </v:rect>
                <v:rect id="Rectangle 219" o:spid="_x0000_s1044" style="position:absolute;left:25643;top:8452;width:2283;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69CAD0E" w14:textId="77777777" w:rsidR="0021274A" w:rsidRDefault="00000000">
                        <w:pPr>
                          <w:spacing w:after="160" w:line="259" w:lineRule="auto"/>
                          <w:ind w:left="0" w:firstLine="0"/>
                          <w:jc w:val="left"/>
                        </w:pPr>
                        <w:r>
                          <w:rPr>
                            <w:rFonts w:ascii="Arial" w:eastAsia="Arial" w:hAnsi="Arial" w:cs="Arial"/>
                            <w:b/>
                            <w:color w:val="17365D"/>
                            <w:sz w:val="13"/>
                          </w:rPr>
                          <w:t>alert</w:t>
                        </w:r>
                      </w:p>
                    </w:txbxContent>
                  </v:textbox>
                </v:rect>
                <v:shape id="Shape 220" o:spid="_x0000_s1045" style="position:absolute;left:10140;top:198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owwAAANwAAAAPAAAAZHJzL2Rvd25yZXYueG1sRE/Pa8Iw&#10;FL4P/B/CE7wMTS1jjGoUFRQPY6Dz4u3RPJti81KTWOv++uUw2PHj+z1f9rYRHflQO1YwnWQgiEun&#10;a64UnL634w8QISJrbByTgicFWC4GL3MstHvwgbpjrEQK4VCgAhNjW0gZSkMWw8S1xIm7OG8xJugr&#10;qT0+UrhtZJ5l79JizanBYEsbQ+X1eLcK1l+7N6+j+Vz9dLfN4fV8qsvtVanRsF/NQETq47/4z73X&#10;CvI8zU9n0hGQi18AAAD//wMAUEsBAi0AFAAGAAgAAAAhANvh9svuAAAAhQEAABMAAAAAAAAAAAAA&#10;AAAAAAAAAFtDb250ZW50X1R5cGVzXS54bWxQSwECLQAUAAYACAAAACEAWvQsW78AAAAVAQAACwAA&#10;AAAAAAAAAAAAAAAfAQAAX3JlbHMvLnJlbHNQSwECLQAUAAYACAAAACEAALPjKMMAAADcAAAADwAA&#10;AAAAAAAAAAAAAAAHAgAAZHJzL2Rvd25yZXYueG1sUEsFBgAAAAADAAMAtwAAAPcCAAAAAA==&#10;" path="m,l100800,e" filled="f" strokecolor="#2f75b5" strokeweight="1pt">
                  <v:stroke miterlimit="83231f" joinstyle="miter"/>
                  <v:path arrowok="t" textboxrect="0,0,100800,0"/>
                </v:shape>
                <v:shape id="Shape 221" o:spid="_x0000_s1046" style="position:absolute;left:10716;top:158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Q1xQAAANwAAAAPAAAAZHJzL2Rvd25yZXYueG1sRI9Ba8JA&#10;FITvhf6H5RW81Y0RVKKr1EKrh16qtuLtkX0mwezbkN018d93C4LHYWa+YRar3tTiSq2rLCsYDRMQ&#10;xLnVFRcKDvuP1xkI55E11pZJwY0crJbPTwvMtO34m647X4gIYZehgtL7JpPS5SUZdEPbEEfvbFuD&#10;Psq2kLrFLsJNLdMkmUiDFceFEht6Lym/7IJRsPnZTC56PXbT429Yf4UuyM9TUGrw0r/NQXjq/SN8&#10;b2+1gjQdwf+ZeATk8g8AAP//AwBQSwECLQAUAAYACAAAACEA2+H2y+4AAACFAQAAEwAAAAAAAAAA&#10;AAAAAAAAAAAAW0NvbnRlbnRfVHlwZXNdLnhtbFBLAQItABQABgAIAAAAIQBa9CxbvwAAABUBAAAL&#10;AAAAAAAAAAAAAAAAAB8BAABfcmVscy8ucmVsc1BLAQItABQABgAIAAAAIQCiCIQ1xQAAANwAAAAP&#10;AAAAAAAAAAAAAAAAAAcCAABkcnMvZG93bnJldi54bWxQSwUGAAAAAAMAAwC3AAAA+QIAAAAA&#10;" path="m,l43200,39600e" filled="f" strokecolor="#2f75b5" strokeweight="1pt">
                  <v:stroke miterlimit="83231f" joinstyle="miter"/>
                  <v:path arrowok="t" textboxrect="0,0,43200,39600"/>
                </v:shape>
                <v:shape id="Shape 222" o:spid="_x0000_s1047" style="position:absolute;left:10716;top:198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hpCxgAAANwAAAAPAAAAZHJzL2Rvd25yZXYueG1sRI9Pa8JA&#10;FMTvQr/D8gq96aYp2BJdRQtqD71o/YO3R/aZBLNvQ3bXpN++KxQ8DjPzG2Y6700tbtS6yrKC11EC&#10;gji3uuJCwf5nNfwA4TyyxtoyKfglB/PZ02CKmbYdb+m284WIEHYZKii9bzIpXV6SQTeyDXH0LrY1&#10;6KNsC6lb7CLc1DJNkrE0WHFcKLGhz5Ly6y4YBZvDZnzVyzf3fjqG5Xfoglyfg1Ivz/1iAsJT7x/h&#10;//aXVpCmKdzPxCMgZ38AAAD//wMAUEsBAi0AFAAGAAgAAAAhANvh9svuAAAAhQEAABMAAAAAAAAA&#10;AAAAAAAAAAAAAFtDb250ZW50X1R5cGVzXS54bWxQSwECLQAUAAYACAAAACEAWvQsW78AAAAVAQAA&#10;CwAAAAAAAAAAAAAAAAAfAQAAX3JlbHMvLnJlbHNQSwECLQAUAAYACAAAACEAUtoaQsYAAADcAAAA&#10;DwAAAAAAAAAAAAAAAAAHAgAAZHJzL2Rvd25yZXYueG1sUEsFBgAAAAADAAMAtwAAAPoCAAAAAA==&#10;" path="m,39600l43200,e" filled="f" strokecolor="#2f75b5" strokeweight="1pt">
                  <v:stroke miterlimit="83231f" joinstyle="miter"/>
                  <v:path arrowok="t" textboxrect="0,0,43200,39600"/>
                </v:shape>
                <v:shape id="Shape 223" o:spid="_x0000_s1048" style="position:absolute;left:20568;top:198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1fxwAAANwAAAAPAAAAZHJzL2Rvd25yZXYueG1sRI9PawIx&#10;FMTvgt8hPMGL1Gy3pcjWKCooPRTBP5feHpvXzeLmZU3SddtP3wiFHoeZ+Q0zX/a2ER35UDtW8DjN&#10;QBCXTtdcKTiftg8zECEia2wck4JvCrBcDAdzLLS78YG6Y6xEgnAoUIGJsS2kDKUhi2HqWuLkfTpv&#10;MSbpK6k93hLcNjLPshdpsea0YLCljaHycvyyCtb73bPX0byvfrrr5jD5ONfl9qLUeNSvXkFE6uN/&#10;+K/9phXk+RPcz6QjIBe/AAAA//8DAFBLAQItABQABgAIAAAAIQDb4fbL7gAAAIUBAAATAAAAAAAA&#10;AAAAAAAAAAAAAABbQ29udGVudF9UeXBlc10ueG1sUEsBAi0AFAAGAAgAAAAhAFr0LFu/AAAAFQEA&#10;AAsAAAAAAAAAAAAAAAAAHwEAAF9yZWxzLy5yZWxzUEsBAi0AFAAGAAgAAAAhAPBhfV/HAAAA3AAA&#10;AA8AAAAAAAAAAAAAAAAABwIAAGRycy9kb3ducmV2LnhtbFBLBQYAAAAAAwADALcAAAD7AgAAAAA=&#10;" path="m,l100800,e" filled="f" strokecolor="#2f75b5" strokeweight="1pt">
                  <v:stroke miterlimit="83231f" joinstyle="miter"/>
                  <v:path arrowok="t" textboxrect="0,0,100800,0"/>
                </v:shape>
                <v:shape id="Shape 224" o:spid="_x0000_s1049" style="position:absolute;left:21144;top:158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etxgAAANwAAAAPAAAAZHJzL2Rvd25yZXYueG1sRI9Pa8JA&#10;FMTvgt9heUJvujEtVlJX0UJrD73U+gdvj+xrEsy+Ddldk357Vyj0OMzMb5jFqje1uFLrKssKppME&#10;BHFudcWFgv3323gOwnlkjbVlUvBLDlbL4WCBmbYdf9F15wsRIewyVFB632RSurwkg25iG+Lo/djW&#10;oI+yLaRusYtwU8s0SWbSYMVxocSGXkvKL7tgFGwP29lFbx7d8+kYNp+hC/L9HJR6GPXrFxCeev8f&#10;/mt/aAVp+gT3M/EIyOUNAAD//wMAUEsBAi0AFAAGAAgAAAAhANvh9svuAAAAhQEAABMAAAAAAAAA&#10;AAAAAAAAAAAAAFtDb250ZW50X1R5cGVzXS54bWxQSwECLQAUAAYACAAAACEAWvQsW78AAAAVAQAA&#10;CwAAAAAAAAAAAAAAAAAfAQAAX3JlbHMvLnJlbHNQSwECLQAUAAYACAAAACEAsn8nrcYAAADcAAAA&#10;DwAAAAAAAAAAAAAAAAAHAgAAZHJzL2Rvd25yZXYueG1sUEsFBgAAAAADAAMAtwAAAPoCAAAAAA==&#10;" path="m,l43200,39600e" filled="f" strokecolor="#2f75b5" strokeweight="1pt">
                  <v:stroke miterlimit="83231f" joinstyle="miter"/>
                  <v:path arrowok="t" textboxrect="0,0,43200,39600"/>
                </v:shape>
                <v:shape id="Shape 225" o:spid="_x0000_s1050" style="position:absolute;left:21144;top:198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I2xgAAANwAAAAPAAAAZHJzL2Rvd25yZXYueG1sRI9Pa8JA&#10;FMTvgt9heUJvujGlVlJX0UJrD73U+gdvj+xrEsy+Ddldk357Vyj0OMzMb5jFqje1uFLrKssKppME&#10;BHFudcWFgv3323gOwnlkjbVlUvBLDlbL4WCBmbYdf9F15wsRIewyVFB632RSurwkg25iG+Lo/djW&#10;oI+yLaRusYtwU8s0SWbSYMVxocSGXkvKL7tgFGwP29lFbx7d8+kYNp+hC/L9HJR6GPXrFxCeev8f&#10;/mt/aAVp+gT3M/EIyOUNAAD//wMAUEsBAi0AFAAGAAgAAAAhANvh9svuAAAAhQEAABMAAAAAAAAA&#10;AAAAAAAAAAAAAFtDb250ZW50X1R5cGVzXS54bWxQSwECLQAUAAYACAAAACEAWvQsW78AAAAVAQAA&#10;CwAAAAAAAAAAAAAAAAAfAQAAX3JlbHMvLnJlbHNQSwECLQAUAAYACAAAACEA3TOCNsYAAADcAAAA&#10;DwAAAAAAAAAAAAAAAAAHAgAAZHJzL2Rvd25yZXYueG1sUEsFBgAAAAADAAMAtwAAAPoCAAAAAA==&#10;" path="m,39600l43200,e" filled="f" strokecolor="#2f75b5" strokeweight="1pt">
                  <v:stroke miterlimit="83231f" joinstyle="miter"/>
                  <v:path arrowok="t" textboxrect="0,0,43200,39600"/>
                </v:shape>
                <v:shape id="Shape 226" o:spid="_x0000_s1051" style="position:absolute;left:10140;top:846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7HxgAAANwAAAAPAAAAZHJzL2Rvd25yZXYueG1sRI9BawIx&#10;FITvhf6H8AQvRbNdipTVKFZQPJSC1ktvj81zs7h52SZxXf31jSD0OMzMN8xs0dtGdORD7VjB6zgD&#10;QVw6XXOl4PC9Hr2DCBFZY+OYFFwpwGL+/DTDQrsL76jbx0okCIcCFZgY20LKUBqyGMauJU7e0XmL&#10;MUlfSe3xkuC2kXmWTaTFmtOCwZZWhsrT/mwVfHxt3ryO5nN5635Xu5efQ12uT0oNB/1yCiJSH//D&#10;j/ZWK8jzCdzPpCMg538AAAD//wMAUEsBAi0AFAAGAAgAAAAhANvh9svuAAAAhQEAABMAAAAAAAAA&#10;AAAAAAAAAAAAAFtDb250ZW50X1R5cGVzXS54bWxQSwECLQAUAAYACAAAACEAWvQsW78AAAAVAQAA&#10;CwAAAAAAAAAAAAAAAAAfAQAAX3JlbHMvLnJlbHNQSwECLQAUAAYACAAAACEA4Bbex8YAAADcAAAA&#10;DwAAAAAAAAAAAAAAAAAHAgAAZHJzL2Rvd25yZXYueG1sUEsFBgAAAAADAAMAtwAAAPoCAAAAAA==&#10;" path="m,l100800,e" filled="f" strokecolor="#2f75b5" strokeweight="1pt">
                  <v:stroke miterlimit="83231f" joinstyle="miter"/>
                  <v:path arrowok="t" textboxrect="0,0,100800,0"/>
                </v:shape>
                <v:shape id="Shape 227" o:spid="_x0000_s1052" style="position:absolute;left:10716;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naxQAAANwAAAAPAAAAZHJzL2Rvd25yZXYueG1sRI9Ba8JA&#10;FITvQv/D8gq96aYRVKKr1EK1By9VW/H2yD6TYPZtyO6a9N93hYLHYWa+YRar3tTiRq2rLCt4HSUg&#10;iHOrKy4UHA8fwxkI55E11pZJwS85WC2fBgvMtO34i257X4gIYZehgtL7JpPS5SUZdCPbEEfvYluD&#10;Psq2kLrFLsJNLdMkmUiDFceFEht6Lym/7oNRsP3eTq56PXbT009Y70IX5OYclHp57t/mIDz1/hH+&#10;b39qBWk6hfuZeATk8g8AAP//AwBQSwECLQAUAAYACAAAACEA2+H2y+4AAACFAQAAEwAAAAAAAAAA&#10;AAAAAAAAAAAAW0NvbnRlbnRfVHlwZXNdLnhtbFBLAQItABQABgAIAAAAIQBa9CxbvwAAABUBAAAL&#10;AAAAAAAAAAAAAAAAAB8BAABfcmVscy8ucmVsc1BLAQItABQABgAIAAAAIQBCrbnaxQAAANwAAAAP&#10;AAAAAAAAAAAAAAAAAAcCAABkcnMvZG93bnJldi54bWxQSwUGAAAAAAMAAwC3AAAA+QIAAAAA&#10;" path="m,l43200,39600e" filled="f" strokecolor="#2f75b5" strokeweight="1pt">
                  <v:stroke miterlimit="83231f" joinstyle="miter"/>
                  <v:path arrowok="t" textboxrect="0,0,43200,39600"/>
                </v:shape>
                <v:shape id="Shape 228" o:spid="_x0000_s1053" style="position:absolute;left:10716;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2owwAAANwAAAAPAAAAZHJzL2Rvd25yZXYueG1sRE/LasJA&#10;FN0X+g/DLbirk0awJTpKFXws3FSr0t0lc5sEM3dCZsbEv3cWgsvDeU/nvanFlVpXWVbwMUxAEOdW&#10;V1wo+D2s3r9AOI+ssbZMCm7kYD57fZlipm3HP3Td+0LEEHYZKii9bzIpXV6SQTe0DXHk/m1r0EfY&#10;FlK32MVwU8s0ScbSYMWxocSGliXll30wCjbHzfiiFyP3eT6FxS50Qa7/glKDt/57AsJT75/ih3ur&#10;FaRpXBvPxCMgZ3cAAAD//wMAUEsBAi0AFAAGAAgAAAAhANvh9svuAAAAhQEAABMAAAAAAAAAAAAA&#10;AAAAAAAAAFtDb250ZW50X1R5cGVzXS54bWxQSwECLQAUAAYACAAAACEAWvQsW78AAAAVAQAACwAA&#10;AAAAAAAAAAAAAAAfAQAAX3JlbHMvLnJlbHNQSwECLQAUAAYACAAAACEAMzItqMMAAADcAAAADwAA&#10;AAAAAAAAAAAAAAAHAgAAZHJzL2Rvd25yZXYueG1sUEsFBgAAAAADAAMAtwAAAPcCAAAAAA==&#10;" path="m,39600l43200,e" filled="f" strokecolor="#2f75b5" strokeweight="1pt">
                  <v:stroke miterlimit="83231f" joinstyle="miter"/>
                  <v:path arrowok="t" textboxrect="0,0,43200,39600"/>
                </v:shape>
                <v:shape id="Shape 229" o:spid="_x0000_s1054" style="position:absolute;left:20568;top:8460;width:1008;height:0;visibility:visible;mso-wrap-style:square;v-text-anchor:top" coordsize="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q1xwAAANwAAAAPAAAAZHJzL2Rvd25yZXYueG1sRI9PawIx&#10;FMTvgt8hPMGL1GyXUurWKCooPRTBP5feHpvXzeLmZU3SddtP3wiFHoeZ+Q0zX/a2ER35UDtW8DjN&#10;QBCXTtdcKTiftg8vIEJE1tg4JgXfFGC5GA7mWGh34wN1x1iJBOFQoAITY1tIGUpDFsPUtcTJ+3Te&#10;YkzSV1J7vCW4bWSeZc/SYs1pwWBLG0Pl5fhlFaz3uyevo3lf/XTXzWHyca7L7UWp8ahfvYKI1Mf/&#10;8F/7TSvI8xncz6QjIBe/AAAA//8DAFBLAQItABQABgAIAAAAIQDb4fbL7gAAAIUBAAATAAAAAAAA&#10;AAAAAAAAAAAAAABbQ29udGVudF9UeXBlc10ueG1sUEsBAi0AFAAGAAgAAAAhAFr0LFu/AAAAFQEA&#10;AAsAAAAAAAAAAAAAAAAAHwEAAF9yZWxzLy5yZWxzUEsBAi0AFAAGAAgAAAAhAJGJSrXHAAAA3AAA&#10;AA8AAAAAAAAAAAAAAAAABwIAAGRycy9kb3ducmV2LnhtbFBLBQYAAAAAAwADALcAAAD7AgAAAAA=&#10;" path="m,l100800,e" filled="f" strokecolor="#2f75b5" strokeweight="1pt">
                  <v:stroke miterlimit="83231f" joinstyle="miter"/>
                  <v:path arrowok="t" textboxrect="0,0,100800,0"/>
                </v:shape>
                <v:shape id="Shape 230" o:spid="_x0000_s1055" style="position:absolute;left:21144;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dzwwAAANwAAAAPAAAAZHJzL2Rvd25yZXYueG1sRE/LasJA&#10;FN0L/sNwC+7MpApWUsdQhVYX3VT7oLtL5jYJydwJmRkT/95ZFFweznuTj6YVF+pdbVnBY5KCIC6s&#10;rrlU8Hl+na9BOI+ssbVMCq7kIN9OJxvMtB34gy4nX4oYwi5DBZX3XSalKyoy6BLbEUfuz/YGfYR9&#10;KXWPQww3rVyk6UoarDk2VNjRvqKiOQWj4PB1WDV6t3RPP99h9x6GIN9+g1Kzh/HlGYSn0d/F/+6j&#10;VrBYxvnxTDwCcnsDAAD//wMAUEsBAi0AFAAGAAgAAAAhANvh9svuAAAAhQEAABMAAAAAAAAAAAAA&#10;AAAAAAAAAFtDb250ZW50X1R5cGVzXS54bWxQSwECLQAUAAYACAAAACEAWvQsW78AAAAVAQAACwAA&#10;AAAAAAAAAAAAAAAfAQAAX3JlbHMvLnJlbHNQSwECLQAUAAYACAAAACEASJ23c8MAAADcAAAADwAA&#10;AAAAAAAAAAAAAAAHAgAAZHJzL2Rvd25yZXYueG1sUEsFBgAAAAADAAMAtwAAAPcCAAAAAA==&#10;" path="m,l43200,39600e" filled="f" strokecolor="#2f75b5" strokeweight="1pt">
                  <v:stroke miterlimit="83231f" joinstyle="miter"/>
                  <v:path arrowok="t" textboxrect="0,0,43200,39600"/>
                </v:shape>
                <v:shape id="Shape 231" o:spid="_x0000_s1056" style="position:absolute;left:21144;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LoxgAAANwAAAAPAAAAZHJzL2Rvd25yZXYueG1sRI9Pa8JA&#10;FMTvBb/D8oTe6kYFLdFVqmD10Eutf/D2yL4mwezbkN018dt3C4LHYWZ+w8yXnanEjRpXWlYwHCQg&#10;iDOrS84VHH42b+8gnEfWWFkmBXdysFz0XuaYatvyN932PhcRwi5FBYX3dSqlywoy6Aa2Jo7er20M&#10;+iibXOoG2wg3lRwlyUQaLDkuFFjTuqDsug9Gwfa4nVz1auym51NYfYU2yM9LUOq1333MQHjq/DP8&#10;aO+0gtF4CP9n4hGQiz8AAAD//wMAUEsBAi0AFAAGAAgAAAAhANvh9svuAAAAhQEAABMAAAAAAAAA&#10;AAAAAAAAAAAAAFtDb250ZW50X1R5cGVzXS54bWxQSwECLQAUAAYACAAAACEAWvQsW78AAAAVAQAA&#10;CwAAAAAAAAAAAAAAAAAfAQAAX3JlbHMvLnJlbHNQSwECLQAUAAYACAAAACEAJ9ES6MYAAADcAAAA&#10;DwAAAAAAAAAAAAAAAAAHAgAAZHJzL2Rvd25yZXYueG1sUEsFBgAAAAADAAMAtwAAAPoCAAAAAA==&#10;" path="m,39600l43200,e" filled="f" strokecolor="#2f75b5" strokeweight="1pt">
                  <v:stroke miterlimit="83231f" joinstyle="miter"/>
                  <v:path arrowok="t" textboxrect="0,0,43200,39600"/>
                </v:shape>
                <v:shape id="Shape 232" o:spid="_x0000_s1057" style="position:absolute;left:26502;top:3960;width:0;height:1800;visibility:visible;mso-wrap-style:square;v-text-anchor:top" coordsize="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2KxAAAANwAAAAPAAAAZHJzL2Rvd25yZXYueG1sRI9Bi8Iw&#10;FITvwv6H8Ba8yJpuBZGuUcRFEPTSqoe9PZq3bbF5KUnU+u+NIHgcZuYbZr7sTSuu5HxjWcH3OAFB&#10;XFrdcKXgeNh8zUD4gKyxtUwK7uRhufgYzDHT9sY5XYtQiQhhn6GCOoQuk9KXNRn0Y9sRR+/fOoMh&#10;SldJ7fAW4aaVaZJMpcGG40KNHa1rKs/FxSiY/P3O7PmU705uLfNqW+xX91Gp1PCzX/2ACNSHd/jV&#10;3moF6SSF55l4BOTiAQAA//8DAFBLAQItABQABgAIAAAAIQDb4fbL7gAAAIUBAAATAAAAAAAAAAAA&#10;AAAAAAAAAABbQ29udGVudF9UeXBlc10ueG1sUEsBAi0AFAAGAAgAAAAhAFr0LFu/AAAAFQEAAAsA&#10;AAAAAAAAAAAAAAAAHwEAAF9yZWxzLy5yZWxzUEsBAi0AFAAGAAgAAAAhAOxufYrEAAAA3AAAAA8A&#10;AAAAAAAAAAAAAAAABwIAAGRycy9kb3ducmV2LnhtbFBLBQYAAAAAAwADALcAAAD4AgAAAAA=&#10;" path="m,l,180000e" filled="f" strokecolor="#2f75b5" strokeweight="1pt">
                  <v:stroke miterlimit="83231f" joinstyle="miter"/>
                  <v:path arrowok="t" textboxrect="0,0,0,180000"/>
                </v:shape>
                <v:shape id="Shape 233" o:spid="_x0000_s1058" style="position:absolute;left:432;top:5760;width:26070;height:0;visibility:visible;mso-wrap-style:square;v-text-anchor:top" coordsize="260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uOixgAAANwAAAAPAAAAZHJzL2Rvd25yZXYueG1sRI9Ba8JA&#10;FITvQv/D8oTedFeFItFN0JbSHqqitqC31+xrEpp9G7JbTf+9Kwgeh5n5hplnna3FiVpfOdYwGioQ&#10;xLkzFRcaPvevgykIH5AN1o5Jwz95yNKH3hwT4868pdMuFCJC2CeooQyhSaT0eUkW/dA1xNH7ca3F&#10;EGVbSNPiOcJtLcdKPUmLFceFEht6Lin/3f1ZDR+oXmivjqvlaPv2tVqsN4dvklo/9rvFDESgLtzD&#10;t/a70TCeTOB6Jh4BmV4AAAD//wMAUEsBAi0AFAAGAAgAAAAhANvh9svuAAAAhQEAABMAAAAAAAAA&#10;AAAAAAAAAAAAAFtDb250ZW50X1R5cGVzXS54bWxQSwECLQAUAAYACAAAACEAWvQsW78AAAAVAQAA&#10;CwAAAAAAAAAAAAAAAAAfAQAAX3JlbHMvLnJlbHNQSwECLQAUAAYACAAAACEArnbjosYAAADcAAAA&#10;DwAAAAAAAAAAAAAAAAAHAgAAZHJzL2Rvd25yZXYueG1sUEsFBgAAAAADAAMAtwAAAPoCAAAAAA==&#10;" path="m2607000,l,e" filled="f" strokecolor="#2f75b5" strokeweight="1pt">
                  <v:stroke miterlimit="83231f" joinstyle="miter"/>
                  <v:path arrowok="t" textboxrect="0,0,2607000,0"/>
                </v:shape>
                <v:shape id="Shape 234" o:spid="_x0000_s1059" style="position:absolute;left:432;top:5760;width:0;height:2700;visibility:visible;mso-wrap-style:square;v-text-anchor:top" coordsize="0,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g+xgAAANwAAAAPAAAAZHJzL2Rvd25yZXYueG1sRI9Ba8JA&#10;FITvgv9heUJvumkqItFV2mJp6UmjCN4e2WcSzL6Nu1uN/nq3UOhxmJlvmPmyM424kPO1ZQXPowQE&#10;cWF1zaWC3fZjOAXhA7LGxjIpuJGH5aLfm2Om7ZU3dMlDKSKEfYYKqhDaTEpfVGTQj2xLHL2jdQZD&#10;lK6U2uE1wk0j0ySZSIM1x4UKW3qvqDjlP0bBYbNd5d8dnu/r4+70OXnLU7e/KfU06F5nIAJ14T/8&#10;1/7SCtKXMfyeiUdALh4AAAD//wMAUEsBAi0AFAAGAAgAAAAhANvh9svuAAAAhQEAABMAAAAAAAAA&#10;AAAAAAAAAAAAAFtDb250ZW50X1R5cGVzXS54bWxQSwECLQAUAAYACAAAACEAWvQsW78AAAAVAQAA&#10;CwAAAAAAAAAAAAAAAAAfAQAAX3JlbHMvLnJlbHNQSwECLQAUAAYACAAAACEAGyBYPsYAAADcAAAA&#10;DwAAAAAAAAAAAAAAAAAHAgAAZHJzL2Rvd25yZXYueG1sUEsFBgAAAAADAAMAtwAAAPoCAAAAAA==&#10;" path="m,l,270000e" filled="f" strokecolor="#2f75b5" strokeweight="1pt">
                  <v:stroke miterlimit="83231f" joinstyle="miter"/>
                  <v:path arrowok="t" textboxrect="0,0,0,270000"/>
                </v:shape>
                <v:shape id="Shape 235" o:spid="_x0000_s1060" style="position:absolute;top:8064;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TrxgAAANwAAAAPAAAAZHJzL2Rvd25yZXYueG1sRI9Ba8JA&#10;FITvgv9heUJvulGpSnQVFVp76EVbW7w9ss8kmH0bsrsm/ffdQsHjMDPfMKtNZypxp8aVlhWMRwkI&#10;4szqknMFnx8vwwUI55E1VpZJwQ852Kz7vRWm2rZ8pPvJ5yJC2KWooPC+TqV0WUEG3cjWxNG72sag&#10;j7LJpW6wjXBTyUmSzKTBkuNCgTXtC8pup2AUHM6H2U3vpm7+/RV276EN8vUSlHoadNslCE+df4T/&#10;229awWT6DH9n4hGQ618AAAD//wMAUEsBAi0AFAAGAAgAAAAhANvh9svuAAAAhQEAABMAAAAAAAAA&#10;AAAAAAAAAAAAAFtDb250ZW50X1R5cGVzXS54bWxQSwECLQAUAAYACAAAACEAWvQsW78AAAAVAQAA&#10;CwAAAAAAAAAAAAAAAAAfAQAAX3JlbHMvLnJlbHNQSwECLQAUAAYACAAAACEAWOoU68YAAADcAAAA&#10;DwAAAAAAAAAAAAAAAAAHAgAAZHJzL2Rvd25yZXYueG1sUEsFBgAAAAADAAMAtwAAAPoCAAAAAA==&#10;" path="m,l43200,39600e" filled="f" strokecolor="#2f75b5" strokeweight="1pt">
                  <v:stroke miterlimit="83231f" joinstyle="miter"/>
                  <v:path arrowok="t" textboxrect="0,0,43200,39600"/>
                </v:shape>
                <v:shape id="Shape 236" o:spid="_x0000_s1061" style="position:absolute;top:8460;width:432;height:396;visibility:visible;mso-wrap-style:square;v-text-anchor:top" coordsize="43200,3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qcxQAAANwAAAAPAAAAZHJzL2Rvd25yZXYueG1sRI9Ba8JA&#10;FITvQv/D8gq96aYKUaKr1EKrh160tuLtkX0mwezbkN018d93BaHHYWa+YRar3tTiSq2rLCt4HSUg&#10;iHOrKy4UHL4/hjMQziNrrC2Tghs5WC2fBgvMtO14R9e9L0SEsMtQQel9k0np8pIMupFtiKN3tq1B&#10;H2VbSN1iF+GmluMkSaXBiuNCiQ29l5Rf9sEo2Pxs0oteT9z0+BvWX6EL8vMUlHp57t/mIDz1/j/8&#10;aG+1gvEkhfuZeATk8g8AAP//AwBQSwECLQAUAAYACAAAACEA2+H2y+4AAACFAQAAEwAAAAAAAAAA&#10;AAAAAAAAAAAAW0NvbnRlbnRfVHlwZXNdLnhtbFBLAQItABQABgAIAAAAIQBa9CxbvwAAABUBAAAL&#10;AAAAAAAAAAAAAAAAAB8BAABfcmVscy8ucmVsc1BLAQItABQABgAIAAAAIQCoOIqcxQAAANwAAAAP&#10;AAAAAAAAAAAAAAAAAAcCAABkcnMvZG93bnJldi54bWxQSwUGAAAAAAMAAwC3AAAA+QIAAAAA&#10;" path="m,39600l43200,e" filled="f" strokecolor="#2f75b5" strokeweight="1pt">
                  <v:stroke miterlimit="83231f" joinstyle="miter"/>
                  <v:path arrowok="t" textboxrect="0,0,43200,39600"/>
                </v:shape>
                <w10:anchorlock/>
              </v:group>
            </w:pict>
          </mc:Fallback>
        </mc:AlternateContent>
      </w:r>
    </w:p>
    <w:p w14:paraId="1A5CE7EF" w14:textId="77777777" w:rsidR="0021274A" w:rsidRDefault="00000000">
      <w:pPr>
        <w:spacing w:line="251" w:lineRule="auto"/>
        <w:jc w:val="center"/>
      </w:pPr>
      <w:r>
        <w:rPr>
          <w:color w:val="4B5563"/>
          <w:sz w:val="14"/>
        </w:rPr>
        <w:t>Fig. 1. Core Chainsilience AI pipeline. Each transition stores confidence, provenance, timestamp, and version.</w:t>
      </w:r>
    </w:p>
    <w:p w14:paraId="793A8254" w14:textId="11EE3EA8" w:rsidR="0021274A" w:rsidRDefault="00000000">
      <w:pPr>
        <w:pStyle w:val="Heading2"/>
        <w:ind w:left="-5"/>
      </w:pPr>
      <w:r>
        <w:rPr>
          <w:b/>
        </w:rPr>
        <w:t>A.</w:t>
      </w:r>
      <w:r>
        <w:t xml:space="preserve"> 1) </w:t>
      </w:r>
      <w:r w:rsidR="00C37581">
        <w:t xml:space="preserve">News </w:t>
      </w:r>
      <w:r>
        <w:t>Collection</w:t>
      </w:r>
      <w:r w:rsidR="00C37581">
        <w:t>/Scraping</w:t>
      </w:r>
      <w:r>
        <w:t xml:space="preserve"> and Normalization</w:t>
      </w:r>
    </w:p>
    <w:p w14:paraId="54A6CDCB" w14:textId="77777777" w:rsidR="0021274A" w:rsidRDefault="00000000">
      <w:pPr>
        <w:ind w:left="-5"/>
      </w:pPr>
      <w:r>
        <w:t>Connectors ingest permitted sources: government advisories, earthquake and weather feeds, trade and customs notices, port and carrier updates, company disclosures, trusted media, and licensed datasets. Documents are hashed, timestamped, language-detected, deduplicated, and retained with source metadata. Internal connectors read only the fields required from supplier master data, bills of material, inventory, orders, routes, and schedules.</w:t>
      </w:r>
    </w:p>
    <w:p w14:paraId="1E31D990" w14:textId="77777777" w:rsidR="0021274A" w:rsidRDefault="00000000">
      <w:pPr>
        <w:pStyle w:val="Heading2"/>
        <w:ind w:left="-5"/>
      </w:pPr>
      <w:r>
        <w:rPr>
          <w:b/>
        </w:rPr>
        <w:lastRenderedPageBreak/>
        <w:t>B.</w:t>
      </w:r>
      <w:r>
        <w:t xml:space="preserve"> 2) AI-Agent Extraction and Verification</w:t>
      </w:r>
    </w:p>
    <w:p w14:paraId="7974239B" w14:textId="264DD745" w:rsidR="0021274A" w:rsidRDefault="00000000">
      <w:pPr>
        <w:ind w:left="-5"/>
      </w:pPr>
      <w:r>
        <w:t>An extraction agent converts unstructured text into a schema containing event type, entities, locations, products, start time, expected duration, severity, quantities, and cited evidence spans. A verifier compares independent sources, detects contradictions, checks temporal and geographic consistency, and assigns</w:t>
      </w:r>
      <w:r w:rsidR="00C37581">
        <w:t xml:space="preserve"> </w:t>
      </w:r>
      <w:r>
        <w:t>confidence</w:t>
      </w:r>
      <w:r w:rsidR="00C37581">
        <w:t xml:space="preserve"> level</w:t>
      </w:r>
      <w:r>
        <w:t>. Retrieval-augmented generation</w:t>
      </w:r>
      <w:r w:rsidR="00C37581">
        <w:t xml:space="preserve"> (RAG)</w:t>
      </w:r>
      <w:r>
        <w:t xml:space="preserve"> grounds summaries in retrieved records [9]; provenance follows the entity-activity-agent concepts standardized by W3C</w:t>
      </w:r>
      <w:r w:rsidR="00C37581">
        <w:t>’s</w:t>
      </w:r>
      <w:r>
        <w:t xml:space="preserve"> PROV-O [10].</w:t>
      </w:r>
    </w:p>
    <w:p w14:paraId="7786D748" w14:textId="77777777" w:rsidR="0021274A" w:rsidRDefault="00000000">
      <w:pPr>
        <w:ind w:left="-5"/>
      </w:pPr>
      <w:r>
        <w:t>Agentic workflows may interleave reasoning with tool use, following patterns demonstrated by ReAct [8]. Chainsilience AI constrains this behavior: tools expose typed inputs, least-privilege permissions, timeouts, and auditable results. The LLM cannot directly alter enterprise records or send external communications unless a workflow policy and designated human approver permit it.</w:t>
      </w:r>
    </w:p>
    <w:p w14:paraId="0AFDED9B" w14:textId="77777777" w:rsidR="0021274A" w:rsidRDefault="00000000">
      <w:pPr>
        <w:pStyle w:val="Heading2"/>
        <w:ind w:left="-5"/>
      </w:pPr>
      <w:r>
        <w:rPr>
          <w:b/>
        </w:rPr>
        <w:t>C.</w:t>
      </w:r>
      <w:r>
        <w:t xml:space="preserve"> 3) Enterprise Context Layer</w:t>
      </w:r>
    </w:p>
    <w:p w14:paraId="0FE75E97" w14:textId="43EEBD9D" w:rsidR="00C37581" w:rsidRDefault="00000000" w:rsidP="009D33F9">
      <w:pPr>
        <w:spacing w:after="5"/>
        <w:ind w:left="-5"/>
      </w:pPr>
      <w:r>
        <w:t>The event object is joined to enterprise identifiers. Entity resolution uses names, addresses, geospatial distance, corporate ownership, product codes, and user-confirmed aliases. Unresolved matches enter a review queue rather than silently becoming graph facts. Confidence therefore travels with each edge and each downstream conclusion.</w:t>
      </w:r>
    </w:p>
    <w:tbl>
      <w:tblPr>
        <w:tblStyle w:val="TableGrid"/>
        <w:tblW w:w="4757" w:type="dxa"/>
        <w:tblInd w:w="0" w:type="dxa"/>
        <w:tblCellMar>
          <w:top w:w="88" w:type="dxa"/>
          <w:left w:w="60" w:type="dxa"/>
          <w:right w:w="115" w:type="dxa"/>
        </w:tblCellMar>
        <w:tblLook w:val="04A0" w:firstRow="1" w:lastRow="0" w:firstColumn="1" w:lastColumn="0" w:noHBand="0" w:noVBand="1"/>
      </w:tblPr>
      <w:tblGrid>
        <w:gridCol w:w="1078"/>
        <w:gridCol w:w="1814"/>
        <w:gridCol w:w="1865"/>
      </w:tblGrid>
      <w:tr w:rsidR="0021274A" w14:paraId="61F27241"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17365D"/>
          </w:tcPr>
          <w:p w14:paraId="376AEDF4" w14:textId="77777777" w:rsidR="0021274A" w:rsidRDefault="00000000">
            <w:pPr>
              <w:spacing w:after="0" w:line="259" w:lineRule="auto"/>
              <w:ind w:left="0" w:firstLine="0"/>
              <w:jc w:val="left"/>
            </w:pPr>
            <w:r>
              <w:rPr>
                <w:rFonts w:ascii="Arial" w:eastAsia="Arial" w:hAnsi="Arial" w:cs="Arial"/>
                <w:b/>
                <w:color w:val="FFFFFF"/>
                <w:sz w:val="12"/>
              </w:rPr>
              <w:t>Layer</w:t>
            </w:r>
          </w:p>
        </w:tc>
        <w:tc>
          <w:tcPr>
            <w:tcW w:w="1814" w:type="dxa"/>
            <w:tcBorders>
              <w:top w:val="single" w:sz="2" w:space="0" w:color="AAB7C4"/>
              <w:left w:val="single" w:sz="2" w:space="0" w:color="AAB7C4"/>
              <w:bottom w:val="single" w:sz="2" w:space="0" w:color="AAB7C4"/>
              <w:right w:val="single" w:sz="2" w:space="0" w:color="AAB7C4"/>
            </w:tcBorders>
            <w:shd w:val="clear" w:color="auto" w:fill="17365D"/>
          </w:tcPr>
          <w:p w14:paraId="1C377698" w14:textId="77777777" w:rsidR="0021274A" w:rsidRDefault="00000000">
            <w:pPr>
              <w:spacing w:after="0" w:line="259" w:lineRule="auto"/>
              <w:ind w:left="0" w:firstLine="0"/>
              <w:jc w:val="left"/>
            </w:pPr>
            <w:r>
              <w:rPr>
                <w:rFonts w:ascii="Arial" w:eastAsia="Arial" w:hAnsi="Arial" w:cs="Arial"/>
                <w:b/>
                <w:color w:val="FFFFFF"/>
                <w:sz w:val="12"/>
              </w:rPr>
              <w:t>Representative data</w:t>
            </w:r>
          </w:p>
        </w:tc>
        <w:tc>
          <w:tcPr>
            <w:tcW w:w="1865" w:type="dxa"/>
            <w:tcBorders>
              <w:top w:val="single" w:sz="2" w:space="0" w:color="AAB7C4"/>
              <w:left w:val="single" w:sz="2" w:space="0" w:color="AAB7C4"/>
              <w:bottom w:val="single" w:sz="2" w:space="0" w:color="AAB7C4"/>
              <w:right w:val="single" w:sz="2" w:space="0" w:color="AAB7C4"/>
            </w:tcBorders>
            <w:shd w:val="clear" w:color="auto" w:fill="17365D"/>
          </w:tcPr>
          <w:p w14:paraId="16CD6D9A" w14:textId="77777777" w:rsidR="0021274A" w:rsidRDefault="00000000">
            <w:pPr>
              <w:spacing w:after="0" w:line="259" w:lineRule="auto"/>
              <w:ind w:left="0" w:firstLine="0"/>
              <w:jc w:val="left"/>
            </w:pPr>
            <w:r>
              <w:rPr>
                <w:rFonts w:ascii="Arial" w:eastAsia="Arial" w:hAnsi="Arial" w:cs="Arial"/>
                <w:b/>
                <w:color w:val="FFFFFF"/>
                <w:sz w:val="12"/>
              </w:rPr>
              <w:t>Primary control</w:t>
            </w:r>
          </w:p>
        </w:tc>
      </w:tr>
      <w:tr w:rsidR="0021274A" w14:paraId="2908B4B1"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FFFFFF"/>
          </w:tcPr>
          <w:p w14:paraId="2D160221" w14:textId="77777777" w:rsidR="0021274A" w:rsidRDefault="00000000">
            <w:pPr>
              <w:spacing w:after="0" w:line="259" w:lineRule="auto"/>
              <w:ind w:left="0" w:firstLine="0"/>
              <w:jc w:val="left"/>
            </w:pPr>
            <w:r>
              <w:rPr>
                <w:rFonts w:ascii="Arial" w:eastAsia="Arial" w:hAnsi="Arial" w:cs="Arial"/>
                <w:sz w:val="12"/>
              </w:rPr>
              <w:t>External</w:t>
            </w:r>
          </w:p>
        </w:tc>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405C6FA6" w14:textId="77777777" w:rsidR="0021274A" w:rsidRDefault="00000000">
            <w:pPr>
              <w:spacing w:after="0" w:line="259" w:lineRule="auto"/>
              <w:ind w:left="0" w:firstLine="0"/>
              <w:jc w:val="left"/>
            </w:pPr>
            <w:r>
              <w:rPr>
                <w:rFonts w:ascii="Arial" w:eastAsia="Arial" w:hAnsi="Arial" w:cs="Arial"/>
                <w:sz w:val="12"/>
              </w:rPr>
              <w:t>Articles, advisories, feeds</w:t>
            </w:r>
          </w:p>
        </w:tc>
        <w:tc>
          <w:tcPr>
            <w:tcW w:w="1865" w:type="dxa"/>
            <w:tcBorders>
              <w:top w:val="single" w:sz="2" w:space="0" w:color="AAB7C4"/>
              <w:left w:val="single" w:sz="2" w:space="0" w:color="AAB7C4"/>
              <w:bottom w:val="single" w:sz="2" w:space="0" w:color="AAB7C4"/>
              <w:right w:val="single" w:sz="2" w:space="0" w:color="AAB7C4"/>
            </w:tcBorders>
            <w:shd w:val="clear" w:color="auto" w:fill="FFFFFF"/>
          </w:tcPr>
          <w:p w14:paraId="35340DF8" w14:textId="77777777" w:rsidR="0021274A" w:rsidRDefault="00000000">
            <w:pPr>
              <w:spacing w:after="0" w:line="259" w:lineRule="auto"/>
              <w:ind w:left="0" w:firstLine="0"/>
              <w:jc w:val="left"/>
            </w:pPr>
            <w:r>
              <w:rPr>
                <w:rFonts w:ascii="Arial" w:eastAsia="Arial" w:hAnsi="Arial" w:cs="Arial"/>
                <w:sz w:val="12"/>
              </w:rPr>
              <w:t>Source allowlist + license</w:t>
            </w:r>
          </w:p>
        </w:tc>
      </w:tr>
      <w:tr w:rsidR="0021274A" w14:paraId="48BE2C3B"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EAF2F8"/>
          </w:tcPr>
          <w:p w14:paraId="4E08BCB9" w14:textId="77777777" w:rsidR="0021274A" w:rsidRDefault="00000000">
            <w:pPr>
              <w:spacing w:after="0" w:line="259" w:lineRule="auto"/>
              <w:ind w:left="0" w:firstLine="0"/>
              <w:jc w:val="left"/>
            </w:pPr>
            <w:r>
              <w:rPr>
                <w:rFonts w:ascii="Arial" w:eastAsia="Arial" w:hAnsi="Arial" w:cs="Arial"/>
                <w:sz w:val="12"/>
              </w:rPr>
              <w:t>Enterprise</w:t>
            </w:r>
          </w:p>
        </w:tc>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403CD78E" w14:textId="56A0DD99" w:rsidR="0021274A" w:rsidRDefault="00000000">
            <w:pPr>
              <w:spacing w:after="0" w:line="259" w:lineRule="auto"/>
              <w:ind w:left="0" w:firstLine="0"/>
              <w:jc w:val="left"/>
            </w:pPr>
            <w:r>
              <w:rPr>
                <w:rFonts w:ascii="Arial" w:eastAsia="Arial" w:hAnsi="Arial" w:cs="Arial"/>
                <w:sz w:val="12"/>
              </w:rPr>
              <w:t xml:space="preserve">BOM, </w:t>
            </w:r>
            <w:r w:rsidR="00136428">
              <w:rPr>
                <w:rFonts w:ascii="Arial" w:eastAsia="Arial" w:hAnsi="Arial" w:cs="Arial"/>
                <w:sz w:val="12"/>
              </w:rPr>
              <w:t>inventory</w:t>
            </w:r>
            <w:r>
              <w:rPr>
                <w:rFonts w:ascii="Arial" w:eastAsia="Arial" w:hAnsi="Arial" w:cs="Arial"/>
                <w:sz w:val="12"/>
              </w:rPr>
              <w:t>, orders, routes</w:t>
            </w:r>
          </w:p>
        </w:tc>
        <w:tc>
          <w:tcPr>
            <w:tcW w:w="1865" w:type="dxa"/>
            <w:tcBorders>
              <w:top w:val="single" w:sz="2" w:space="0" w:color="AAB7C4"/>
              <w:left w:val="single" w:sz="2" w:space="0" w:color="AAB7C4"/>
              <w:bottom w:val="single" w:sz="2" w:space="0" w:color="AAB7C4"/>
              <w:right w:val="single" w:sz="2" w:space="0" w:color="AAB7C4"/>
            </w:tcBorders>
            <w:shd w:val="clear" w:color="auto" w:fill="EAF2F8"/>
          </w:tcPr>
          <w:p w14:paraId="79262DF6" w14:textId="77777777" w:rsidR="0021274A" w:rsidRDefault="00000000">
            <w:pPr>
              <w:spacing w:after="0" w:line="259" w:lineRule="auto"/>
              <w:ind w:left="0" w:firstLine="0"/>
              <w:jc w:val="left"/>
            </w:pPr>
            <w:r>
              <w:rPr>
                <w:rFonts w:ascii="Arial" w:eastAsia="Arial" w:hAnsi="Arial" w:cs="Arial"/>
                <w:sz w:val="12"/>
              </w:rPr>
              <w:t>Role/field access</w:t>
            </w:r>
          </w:p>
        </w:tc>
      </w:tr>
      <w:tr w:rsidR="0021274A" w14:paraId="476BD12D"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FFFFFF"/>
          </w:tcPr>
          <w:p w14:paraId="42B3A2A2" w14:textId="77777777" w:rsidR="0021274A" w:rsidRDefault="00000000">
            <w:pPr>
              <w:spacing w:after="0" w:line="259" w:lineRule="auto"/>
              <w:ind w:left="0" w:firstLine="0"/>
              <w:jc w:val="left"/>
            </w:pPr>
            <w:r>
              <w:rPr>
                <w:rFonts w:ascii="Arial" w:eastAsia="Arial" w:hAnsi="Arial" w:cs="Arial"/>
                <w:sz w:val="12"/>
              </w:rPr>
              <w:t>Reasoning</w:t>
            </w:r>
          </w:p>
        </w:tc>
        <w:tc>
          <w:tcPr>
            <w:tcW w:w="1814" w:type="dxa"/>
            <w:tcBorders>
              <w:top w:val="single" w:sz="2" w:space="0" w:color="AAB7C4"/>
              <w:left w:val="single" w:sz="2" w:space="0" w:color="AAB7C4"/>
              <w:bottom w:val="single" w:sz="2" w:space="0" w:color="AAB7C4"/>
              <w:right w:val="single" w:sz="2" w:space="0" w:color="AAB7C4"/>
            </w:tcBorders>
            <w:shd w:val="clear" w:color="auto" w:fill="FFFFFF"/>
          </w:tcPr>
          <w:p w14:paraId="0072FA78" w14:textId="77777777" w:rsidR="0021274A" w:rsidRDefault="00000000">
            <w:pPr>
              <w:spacing w:after="0" w:line="259" w:lineRule="auto"/>
              <w:ind w:left="0" w:firstLine="0"/>
              <w:jc w:val="left"/>
            </w:pPr>
            <w:r>
              <w:rPr>
                <w:rFonts w:ascii="Arial" w:eastAsia="Arial" w:hAnsi="Arial" w:cs="Arial"/>
                <w:sz w:val="12"/>
              </w:rPr>
              <w:t>Events, graph, scenarios</w:t>
            </w:r>
          </w:p>
        </w:tc>
        <w:tc>
          <w:tcPr>
            <w:tcW w:w="1865" w:type="dxa"/>
            <w:tcBorders>
              <w:top w:val="single" w:sz="2" w:space="0" w:color="AAB7C4"/>
              <w:left w:val="single" w:sz="2" w:space="0" w:color="AAB7C4"/>
              <w:bottom w:val="single" w:sz="2" w:space="0" w:color="AAB7C4"/>
              <w:right w:val="single" w:sz="2" w:space="0" w:color="AAB7C4"/>
            </w:tcBorders>
            <w:shd w:val="clear" w:color="auto" w:fill="FFFFFF"/>
          </w:tcPr>
          <w:p w14:paraId="55FF8A5C" w14:textId="77777777" w:rsidR="0021274A" w:rsidRDefault="00000000">
            <w:pPr>
              <w:spacing w:after="0" w:line="259" w:lineRule="auto"/>
              <w:ind w:left="0" w:firstLine="0"/>
              <w:jc w:val="left"/>
            </w:pPr>
            <w:r>
              <w:rPr>
                <w:rFonts w:ascii="Arial" w:eastAsia="Arial" w:hAnsi="Arial" w:cs="Arial"/>
                <w:sz w:val="12"/>
              </w:rPr>
              <w:t>Evidence + confidence</w:t>
            </w:r>
          </w:p>
        </w:tc>
      </w:tr>
      <w:tr w:rsidR="0021274A" w14:paraId="74100216" w14:textId="77777777">
        <w:trPr>
          <w:trHeight w:val="260"/>
        </w:trPr>
        <w:tc>
          <w:tcPr>
            <w:tcW w:w="1077" w:type="dxa"/>
            <w:tcBorders>
              <w:top w:val="single" w:sz="2" w:space="0" w:color="AAB7C4"/>
              <w:left w:val="single" w:sz="2" w:space="0" w:color="AAB7C4"/>
              <w:bottom w:val="single" w:sz="2" w:space="0" w:color="AAB7C4"/>
              <w:right w:val="single" w:sz="2" w:space="0" w:color="AAB7C4"/>
            </w:tcBorders>
            <w:shd w:val="clear" w:color="auto" w:fill="EAF2F8"/>
          </w:tcPr>
          <w:p w14:paraId="0E4483EB" w14:textId="77777777" w:rsidR="0021274A" w:rsidRDefault="00000000">
            <w:pPr>
              <w:spacing w:after="0" w:line="259" w:lineRule="auto"/>
              <w:ind w:left="0" w:firstLine="0"/>
              <w:jc w:val="left"/>
            </w:pPr>
            <w:r>
              <w:rPr>
                <w:rFonts w:ascii="Arial" w:eastAsia="Arial" w:hAnsi="Arial" w:cs="Arial"/>
                <w:sz w:val="12"/>
              </w:rPr>
              <w:t>Action</w:t>
            </w:r>
          </w:p>
        </w:tc>
        <w:tc>
          <w:tcPr>
            <w:tcW w:w="1814" w:type="dxa"/>
            <w:tcBorders>
              <w:top w:val="single" w:sz="2" w:space="0" w:color="AAB7C4"/>
              <w:left w:val="single" w:sz="2" w:space="0" w:color="AAB7C4"/>
              <w:bottom w:val="single" w:sz="2" w:space="0" w:color="AAB7C4"/>
              <w:right w:val="single" w:sz="2" w:space="0" w:color="AAB7C4"/>
            </w:tcBorders>
            <w:shd w:val="clear" w:color="auto" w:fill="EAF2F8"/>
          </w:tcPr>
          <w:p w14:paraId="7585764E" w14:textId="77777777" w:rsidR="0021274A" w:rsidRDefault="00000000">
            <w:pPr>
              <w:spacing w:after="0" w:line="259" w:lineRule="auto"/>
              <w:ind w:left="0" w:firstLine="0"/>
              <w:jc w:val="left"/>
            </w:pPr>
            <w:r>
              <w:rPr>
                <w:rFonts w:ascii="Arial" w:eastAsia="Arial" w:hAnsi="Arial" w:cs="Arial"/>
                <w:sz w:val="12"/>
              </w:rPr>
              <w:t>Alerts, drafts, tasks</w:t>
            </w:r>
          </w:p>
        </w:tc>
        <w:tc>
          <w:tcPr>
            <w:tcW w:w="1865" w:type="dxa"/>
            <w:tcBorders>
              <w:top w:val="single" w:sz="2" w:space="0" w:color="AAB7C4"/>
              <w:left w:val="single" w:sz="2" w:space="0" w:color="AAB7C4"/>
              <w:bottom w:val="single" w:sz="2" w:space="0" w:color="AAB7C4"/>
              <w:right w:val="single" w:sz="2" w:space="0" w:color="AAB7C4"/>
            </w:tcBorders>
            <w:shd w:val="clear" w:color="auto" w:fill="EAF2F8"/>
          </w:tcPr>
          <w:p w14:paraId="1C18876C" w14:textId="77777777" w:rsidR="0021274A" w:rsidRDefault="00000000">
            <w:pPr>
              <w:spacing w:after="0" w:line="259" w:lineRule="auto"/>
              <w:ind w:left="0" w:firstLine="0"/>
              <w:jc w:val="left"/>
            </w:pPr>
            <w:r>
              <w:rPr>
                <w:rFonts w:ascii="Arial" w:eastAsia="Arial" w:hAnsi="Arial" w:cs="Arial"/>
                <w:sz w:val="12"/>
              </w:rPr>
              <w:t>Approval + audit</w:t>
            </w:r>
          </w:p>
        </w:tc>
      </w:tr>
    </w:tbl>
    <w:p w14:paraId="252D0D9D" w14:textId="77777777" w:rsidR="0021274A" w:rsidRDefault="00000000">
      <w:pPr>
        <w:spacing w:line="251" w:lineRule="auto"/>
        <w:jc w:val="center"/>
      </w:pPr>
      <w:r>
        <w:rPr>
          <w:color w:val="4B5563"/>
          <w:sz w:val="14"/>
        </w:rPr>
        <w:t>TABLE III. DATA LAYERS AND CONTROLS</w:t>
      </w:r>
    </w:p>
    <w:p w14:paraId="6FE65EDF" w14:textId="77777777" w:rsidR="00136428" w:rsidRDefault="00000000">
      <w:pPr>
        <w:pStyle w:val="Heading2"/>
        <w:spacing w:after="0"/>
        <w:ind w:left="-5"/>
      </w:pPr>
      <w:r>
        <w:rPr>
          <w:b/>
        </w:rPr>
        <w:t>D.</w:t>
      </w:r>
      <w:r>
        <w:t xml:space="preserve"> 4) Supply-Chain Knowledge Graph </w:t>
      </w:r>
    </w:p>
    <w:p w14:paraId="0250070D" w14:textId="0D3402C0" w:rsidR="0021274A" w:rsidRPr="00136428" w:rsidRDefault="00000000">
      <w:pPr>
        <w:pStyle w:val="Heading2"/>
        <w:spacing w:after="0"/>
        <w:ind w:left="-5"/>
        <w:rPr>
          <w:i w:val="0"/>
        </w:rPr>
      </w:pPr>
      <w:r w:rsidRPr="00136428">
        <w:rPr>
          <w:i w:val="0"/>
        </w:rPr>
        <w:t>The graph represents Supplier, Site, Part, Material, Product, Route, Port, Carrier, Inventory Node, Production Line, Order, Customer,</w:t>
      </w:r>
    </w:p>
    <w:p w14:paraId="532B426E" w14:textId="77777777" w:rsidR="0021274A" w:rsidRDefault="00000000">
      <w:pPr>
        <w:spacing w:after="5"/>
        <w:ind w:left="-5"/>
      </w:pPr>
      <w:r w:rsidRPr="00136428">
        <w:t>Event, and Source</w:t>
      </w:r>
      <w:r>
        <w:t xml:space="preserve">. Edges encode relationships such as </w:t>
      </w:r>
      <w:r>
        <w:rPr>
          <w:i/>
        </w:rPr>
        <w:t>SUPPLIES,</w:t>
      </w:r>
    </w:p>
    <w:p w14:paraId="3DA06575" w14:textId="70DC0668" w:rsidR="0021274A" w:rsidRDefault="00000000">
      <w:pPr>
        <w:ind w:left="-5"/>
      </w:pPr>
      <w:r>
        <w:rPr>
          <w:i/>
        </w:rPr>
        <w:t>PRODUCED_AT, REQUIRES, SHIPS_VIA, STORED_AT, FULFILLS, LOCATED_IN, OWNED_BY</w:t>
      </w:r>
      <w:r>
        <w:t xml:space="preserve">, and </w:t>
      </w:r>
      <w:r>
        <w:rPr>
          <w:i/>
        </w:rPr>
        <w:t>AFFECTS</w:t>
      </w:r>
      <w:r>
        <w:t xml:space="preserve">. </w:t>
      </w:r>
      <w:r w:rsidR="009D33F9">
        <w:t xml:space="preserve">For example, if two nodes are product and route, then the relationship is SHIPS_VIA. </w:t>
      </w:r>
      <w:r>
        <w:t>Temporal validity permits the system to distinguish a current supplier from an expired contract. Evidence and confidence are attached to every externally inferred relationship.</w:t>
      </w:r>
    </w:p>
    <w:p w14:paraId="4D610EC6" w14:textId="48C16598" w:rsidR="0021274A" w:rsidRDefault="00000000">
      <w:pPr>
        <w:ind w:left="-5"/>
      </w:pPr>
      <w:r>
        <w:t xml:space="preserve">Graph traversal identifies exposure paths that a flat alert cannot: </w:t>
      </w:r>
      <w:r>
        <w:rPr>
          <w:i/>
        </w:rPr>
        <w:t xml:space="preserve">earthquake </w:t>
      </w:r>
      <w:r w:rsidR="00136428" w:rsidRPr="00136428">
        <w:rPr>
          <w:i/>
        </w:rPr>
        <w:sym w:font="Wingdings" w:char="F0E0"/>
      </w:r>
      <w:r>
        <w:rPr>
          <w:i/>
        </w:rPr>
        <w:t xml:space="preserve"> industrial park </w:t>
      </w:r>
      <w:r w:rsidR="00136428" w:rsidRPr="00136428">
        <w:rPr>
          <w:i/>
        </w:rPr>
        <w:sym w:font="Wingdings" w:char="F0E0"/>
      </w:r>
      <w:r>
        <w:rPr>
          <w:i/>
        </w:rPr>
        <w:t xml:space="preserve"> wafer fab </w:t>
      </w:r>
      <w:r w:rsidR="00136428" w:rsidRPr="00136428">
        <w:rPr>
          <w:i/>
        </w:rPr>
        <w:sym w:font="Wingdings" w:char="F0E0"/>
      </w:r>
      <w:r>
        <w:rPr>
          <w:i/>
        </w:rPr>
        <w:t xml:space="preserve"> </w:t>
      </w:r>
      <w:r w:rsidR="00136428">
        <w:rPr>
          <w:i/>
        </w:rPr>
        <w:t>chip</w:t>
      </w:r>
      <w:r>
        <w:rPr>
          <w:i/>
        </w:rPr>
        <w:t xml:space="preserve"> family </w:t>
      </w:r>
      <w:r w:rsidR="00136428" w:rsidRPr="00136428">
        <w:rPr>
          <w:i/>
        </w:rPr>
        <w:sym w:font="Wingdings" w:char="F0E0"/>
      </w:r>
      <w:r>
        <w:rPr>
          <w:i/>
        </w:rPr>
        <w:t xml:space="preserve"> assembly site </w:t>
      </w:r>
      <w:r w:rsidR="00136428" w:rsidRPr="00136428">
        <w:rPr>
          <w:i/>
        </w:rPr>
        <w:sym w:font="Wingdings" w:char="F0E0"/>
      </w:r>
      <w:r>
        <w:rPr>
          <w:i/>
        </w:rPr>
        <w:t xml:space="preserve"> finished product </w:t>
      </w:r>
      <w:r w:rsidR="00136428" w:rsidRPr="00136428">
        <w:rPr>
          <w:i/>
        </w:rPr>
        <w:sym w:font="Wingdings" w:char="F0E0"/>
      </w:r>
      <w:r>
        <w:rPr>
          <w:i/>
        </w:rPr>
        <w:t xml:space="preserve"> customer order</w:t>
      </w:r>
      <w:r>
        <w:t>.</w:t>
      </w:r>
      <w:r w:rsidR="00136428">
        <w:t xml:space="preserve"> </w:t>
      </w:r>
      <w:r>
        <w:t xml:space="preserve">Knowledge-graph reasoning has been studied for discovering </w:t>
      </w:r>
      <w:r w:rsidR="009D33F9">
        <w:t>underlying</w:t>
      </w:r>
      <w:r>
        <w:t xml:space="preserve"> supply-chain risks [6], while LLM-based extraction can extend mapping from public information [7]. Chainsilience AI combines those methods with private, authoritative enterprise edges.</w:t>
      </w:r>
    </w:p>
    <w:p w14:paraId="1F809088" w14:textId="77777777" w:rsidR="0021274A" w:rsidRDefault="00000000">
      <w:pPr>
        <w:pStyle w:val="Heading2"/>
        <w:ind w:left="-5"/>
      </w:pPr>
      <w:r>
        <w:rPr>
          <w:b/>
        </w:rPr>
        <w:t>E.</w:t>
      </w:r>
      <w:r>
        <w:t xml:space="preserve"> 5) Digital Twin</w:t>
      </w:r>
    </w:p>
    <w:p w14:paraId="223579A4" w14:textId="2CA73AB8" w:rsidR="0021274A" w:rsidRDefault="00000000">
      <w:pPr>
        <w:spacing w:after="5"/>
        <w:ind w:left="-5"/>
      </w:pPr>
      <w:r>
        <w:t xml:space="preserve">The digital twin is a time-indexed computational representation of the operational network, not </w:t>
      </w:r>
      <w:r w:rsidR="007F06F1">
        <w:t>just</w:t>
      </w:r>
      <w:r>
        <w:t xml:space="preserve"> a dashboard. It combines topology with state variables: on-hand and in-transit inventory, demand, yields, capacities, lead times, route schedules, recovery assumptions, and contractual priorities. Digital supply-chain twins support disruption experiments</w:t>
      </w:r>
      <w:r w:rsidR="009D33F9">
        <w:t xml:space="preserve"> for risk analysis</w:t>
      </w:r>
      <w:r>
        <w:t xml:space="preserve"> and contingency </w:t>
      </w:r>
      <w:r w:rsidR="009D33F9">
        <w:t>simulations</w:t>
      </w:r>
      <w:r>
        <w:t xml:space="preserve"> [4].</w:t>
      </w:r>
    </w:p>
    <w:tbl>
      <w:tblPr>
        <w:tblStyle w:val="TableGrid"/>
        <w:tblW w:w="4757" w:type="dxa"/>
        <w:tblInd w:w="0" w:type="dxa"/>
        <w:tblCellMar>
          <w:top w:w="89" w:type="dxa"/>
          <w:left w:w="60" w:type="dxa"/>
          <w:right w:w="115" w:type="dxa"/>
        </w:tblCellMar>
        <w:tblLook w:val="04A0" w:firstRow="1" w:lastRow="0" w:firstColumn="1" w:lastColumn="0" w:noHBand="0" w:noVBand="1"/>
      </w:tblPr>
      <w:tblGrid>
        <w:gridCol w:w="1587"/>
        <w:gridCol w:w="3170"/>
      </w:tblGrid>
      <w:tr w:rsidR="0021274A" w14:paraId="07E18C56"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17365D"/>
          </w:tcPr>
          <w:p w14:paraId="78883FF2" w14:textId="77777777" w:rsidR="0021274A" w:rsidRDefault="00000000">
            <w:pPr>
              <w:spacing w:after="0" w:line="259" w:lineRule="auto"/>
              <w:ind w:left="0" w:firstLine="0"/>
              <w:jc w:val="left"/>
            </w:pPr>
            <w:r>
              <w:rPr>
                <w:rFonts w:ascii="Arial" w:eastAsia="Arial" w:hAnsi="Arial" w:cs="Arial"/>
                <w:b/>
                <w:color w:val="FFFFFF"/>
                <w:sz w:val="12"/>
              </w:rPr>
              <w:t>Entity/state</w:t>
            </w:r>
          </w:p>
        </w:tc>
        <w:tc>
          <w:tcPr>
            <w:tcW w:w="3169" w:type="dxa"/>
            <w:tcBorders>
              <w:top w:val="single" w:sz="2" w:space="0" w:color="AAB7C4"/>
              <w:left w:val="single" w:sz="2" w:space="0" w:color="AAB7C4"/>
              <w:bottom w:val="single" w:sz="2" w:space="0" w:color="AAB7C4"/>
              <w:right w:val="single" w:sz="2" w:space="0" w:color="AAB7C4"/>
            </w:tcBorders>
            <w:shd w:val="clear" w:color="auto" w:fill="17365D"/>
          </w:tcPr>
          <w:p w14:paraId="1E0A3009" w14:textId="77777777" w:rsidR="0021274A" w:rsidRDefault="00000000">
            <w:pPr>
              <w:spacing w:after="0" w:line="259" w:lineRule="auto"/>
              <w:ind w:left="0" w:firstLine="0"/>
              <w:jc w:val="left"/>
            </w:pPr>
            <w:r>
              <w:rPr>
                <w:rFonts w:ascii="Arial" w:eastAsia="Arial" w:hAnsi="Arial" w:cs="Arial"/>
                <w:b/>
                <w:color w:val="FFFFFF"/>
                <w:sz w:val="12"/>
              </w:rPr>
              <w:t>Example fields</w:t>
            </w:r>
          </w:p>
        </w:tc>
      </w:tr>
      <w:tr w:rsidR="0021274A" w14:paraId="1A780D95"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72D16228" w14:textId="77777777" w:rsidR="0021274A" w:rsidRDefault="00000000">
            <w:pPr>
              <w:spacing w:after="0" w:line="259" w:lineRule="auto"/>
              <w:ind w:left="0" w:firstLine="0"/>
              <w:jc w:val="left"/>
            </w:pPr>
            <w:r>
              <w:rPr>
                <w:rFonts w:ascii="Arial" w:eastAsia="Arial" w:hAnsi="Arial" w:cs="Arial"/>
                <w:sz w:val="12"/>
              </w:rPr>
              <w:t>Supplier-site</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65AF8B18" w14:textId="77777777" w:rsidR="0021274A" w:rsidRDefault="00000000">
            <w:pPr>
              <w:spacing w:after="0" w:line="259" w:lineRule="auto"/>
              <w:ind w:left="0" w:firstLine="0"/>
              <w:jc w:val="left"/>
            </w:pPr>
            <w:r>
              <w:rPr>
                <w:rFonts w:ascii="Arial" w:eastAsia="Arial" w:hAnsi="Arial" w:cs="Arial"/>
                <w:sz w:val="12"/>
              </w:rPr>
              <w:t>capacity, recovery curve, qualification</w:t>
            </w:r>
          </w:p>
        </w:tc>
      </w:tr>
      <w:tr w:rsidR="0021274A" w14:paraId="2D96D73B"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EAF2F8"/>
          </w:tcPr>
          <w:p w14:paraId="0AADDC42" w14:textId="77777777" w:rsidR="0021274A" w:rsidRDefault="00000000">
            <w:pPr>
              <w:spacing w:after="0" w:line="259" w:lineRule="auto"/>
              <w:ind w:left="0" w:firstLine="0"/>
              <w:jc w:val="left"/>
            </w:pPr>
            <w:r>
              <w:rPr>
                <w:rFonts w:ascii="Arial" w:eastAsia="Arial" w:hAnsi="Arial" w:cs="Arial"/>
                <w:sz w:val="12"/>
              </w:rPr>
              <w:t>Part/material</w:t>
            </w:r>
          </w:p>
        </w:tc>
        <w:tc>
          <w:tcPr>
            <w:tcW w:w="3169" w:type="dxa"/>
            <w:tcBorders>
              <w:top w:val="single" w:sz="2" w:space="0" w:color="AAB7C4"/>
              <w:left w:val="single" w:sz="2" w:space="0" w:color="AAB7C4"/>
              <w:bottom w:val="single" w:sz="2" w:space="0" w:color="AAB7C4"/>
              <w:right w:val="single" w:sz="2" w:space="0" w:color="AAB7C4"/>
            </w:tcBorders>
            <w:shd w:val="clear" w:color="auto" w:fill="EAF2F8"/>
          </w:tcPr>
          <w:p w14:paraId="4AE77C42" w14:textId="77777777" w:rsidR="0021274A" w:rsidRDefault="00000000">
            <w:pPr>
              <w:spacing w:after="0" w:line="259" w:lineRule="auto"/>
              <w:ind w:left="0" w:firstLine="0"/>
              <w:jc w:val="left"/>
            </w:pPr>
            <w:r>
              <w:rPr>
                <w:rFonts w:ascii="Arial" w:eastAsia="Arial" w:hAnsi="Arial" w:cs="Arial"/>
                <w:sz w:val="12"/>
              </w:rPr>
              <w:t>BOM usage, substitutes, yield loss</w:t>
            </w:r>
          </w:p>
        </w:tc>
      </w:tr>
      <w:tr w:rsidR="0021274A" w14:paraId="796988F9"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0ECBB174" w14:textId="77777777" w:rsidR="0021274A" w:rsidRDefault="00000000">
            <w:pPr>
              <w:spacing w:after="0" w:line="259" w:lineRule="auto"/>
              <w:ind w:left="0" w:firstLine="0"/>
              <w:jc w:val="left"/>
            </w:pPr>
            <w:r>
              <w:rPr>
                <w:rFonts w:ascii="Arial" w:eastAsia="Arial" w:hAnsi="Arial" w:cs="Arial"/>
                <w:sz w:val="12"/>
              </w:rPr>
              <w:t>Inventory</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37635967" w14:textId="77777777" w:rsidR="0021274A" w:rsidRDefault="00000000">
            <w:pPr>
              <w:spacing w:after="0" w:line="259" w:lineRule="auto"/>
              <w:ind w:left="0" w:firstLine="0"/>
              <w:jc w:val="left"/>
            </w:pPr>
            <w:r>
              <w:rPr>
                <w:rFonts w:ascii="Arial" w:eastAsia="Arial" w:hAnsi="Arial" w:cs="Arial"/>
                <w:sz w:val="12"/>
              </w:rPr>
              <w:t>on-hand, committed, in-transit, expiry</w:t>
            </w:r>
          </w:p>
        </w:tc>
      </w:tr>
      <w:tr w:rsidR="0021274A" w14:paraId="18A3A90C"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EAF2F8"/>
          </w:tcPr>
          <w:p w14:paraId="60B8C060" w14:textId="77777777" w:rsidR="0021274A" w:rsidRDefault="00000000">
            <w:pPr>
              <w:spacing w:after="0" w:line="259" w:lineRule="auto"/>
              <w:ind w:left="0" w:firstLine="0"/>
              <w:jc w:val="left"/>
            </w:pPr>
            <w:r>
              <w:rPr>
                <w:rFonts w:ascii="Arial" w:eastAsia="Arial" w:hAnsi="Arial" w:cs="Arial"/>
                <w:sz w:val="12"/>
              </w:rPr>
              <w:t>Route</w:t>
            </w:r>
          </w:p>
        </w:tc>
        <w:tc>
          <w:tcPr>
            <w:tcW w:w="3169" w:type="dxa"/>
            <w:tcBorders>
              <w:top w:val="single" w:sz="2" w:space="0" w:color="AAB7C4"/>
              <w:left w:val="single" w:sz="2" w:space="0" w:color="AAB7C4"/>
              <w:bottom w:val="single" w:sz="2" w:space="0" w:color="AAB7C4"/>
              <w:right w:val="single" w:sz="2" w:space="0" w:color="AAB7C4"/>
            </w:tcBorders>
            <w:shd w:val="clear" w:color="auto" w:fill="EAF2F8"/>
          </w:tcPr>
          <w:p w14:paraId="2AB90FE6" w14:textId="77777777" w:rsidR="0021274A" w:rsidRDefault="00000000">
            <w:pPr>
              <w:spacing w:after="0" w:line="259" w:lineRule="auto"/>
              <w:ind w:left="0" w:firstLine="0"/>
              <w:jc w:val="left"/>
            </w:pPr>
            <w:r>
              <w:rPr>
                <w:rFonts w:ascii="Arial" w:eastAsia="Arial" w:hAnsi="Arial" w:cs="Arial"/>
                <w:sz w:val="12"/>
              </w:rPr>
              <w:t>mode, lane, transit, cost, chokepoints</w:t>
            </w:r>
          </w:p>
        </w:tc>
      </w:tr>
      <w:tr w:rsidR="0021274A" w14:paraId="2A3F9F91" w14:textId="77777777">
        <w:trPr>
          <w:trHeight w:val="260"/>
        </w:trPr>
        <w:tc>
          <w:tcPr>
            <w:tcW w:w="1587" w:type="dxa"/>
            <w:tcBorders>
              <w:top w:val="single" w:sz="2" w:space="0" w:color="AAB7C4"/>
              <w:left w:val="single" w:sz="2" w:space="0" w:color="AAB7C4"/>
              <w:bottom w:val="single" w:sz="2" w:space="0" w:color="AAB7C4"/>
              <w:right w:val="single" w:sz="2" w:space="0" w:color="AAB7C4"/>
            </w:tcBorders>
            <w:shd w:val="clear" w:color="auto" w:fill="FFFFFF"/>
          </w:tcPr>
          <w:p w14:paraId="5998F791" w14:textId="77777777" w:rsidR="0021274A" w:rsidRDefault="00000000">
            <w:pPr>
              <w:spacing w:after="0" w:line="259" w:lineRule="auto"/>
              <w:ind w:left="0" w:firstLine="0"/>
              <w:jc w:val="left"/>
            </w:pPr>
            <w:r>
              <w:rPr>
                <w:rFonts w:ascii="Arial" w:eastAsia="Arial" w:hAnsi="Arial" w:cs="Arial"/>
                <w:sz w:val="12"/>
              </w:rPr>
              <w:t>Order</w:t>
            </w:r>
          </w:p>
        </w:tc>
        <w:tc>
          <w:tcPr>
            <w:tcW w:w="3169" w:type="dxa"/>
            <w:tcBorders>
              <w:top w:val="single" w:sz="2" w:space="0" w:color="AAB7C4"/>
              <w:left w:val="single" w:sz="2" w:space="0" w:color="AAB7C4"/>
              <w:bottom w:val="single" w:sz="2" w:space="0" w:color="AAB7C4"/>
              <w:right w:val="single" w:sz="2" w:space="0" w:color="AAB7C4"/>
            </w:tcBorders>
            <w:shd w:val="clear" w:color="auto" w:fill="FFFFFF"/>
          </w:tcPr>
          <w:p w14:paraId="5C5E5715" w14:textId="77777777" w:rsidR="0021274A" w:rsidRDefault="00000000">
            <w:pPr>
              <w:spacing w:after="0" w:line="259" w:lineRule="auto"/>
              <w:ind w:left="0" w:firstLine="0"/>
              <w:jc w:val="left"/>
            </w:pPr>
            <w:r>
              <w:rPr>
                <w:rFonts w:ascii="Arial" w:eastAsia="Arial" w:hAnsi="Arial" w:cs="Arial"/>
                <w:sz w:val="12"/>
              </w:rPr>
              <w:t>quantity, due date, priority, penalty</w:t>
            </w:r>
          </w:p>
        </w:tc>
      </w:tr>
    </w:tbl>
    <w:p w14:paraId="65D93678" w14:textId="77777777" w:rsidR="0021274A" w:rsidRDefault="00000000">
      <w:pPr>
        <w:spacing w:line="251" w:lineRule="auto"/>
        <w:jc w:val="center"/>
      </w:pPr>
      <w:r>
        <w:rPr>
          <w:color w:val="4B5563"/>
          <w:sz w:val="14"/>
        </w:rPr>
        <w:t>TABLE IV. MINIMUM DIGITAL-TWIN STATE</w:t>
      </w:r>
    </w:p>
    <w:p w14:paraId="590B8DA8" w14:textId="77777777" w:rsidR="0021274A" w:rsidRDefault="00000000">
      <w:pPr>
        <w:ind w:left="-5"/>
      </w:pPr>
      <w:r>
        <w:t>Twin updates are event-sourced: each change records its source, effective time, ingestion time, and previous value. Scenario runs operate on versioned snapshots so that analysts can reproduce why a recommendation was made.</w:t>
      </w:r>
    </w:p>
    <w:p w14:paraId="2B464DBC" w14:textId="77777777" w:rsidR="0021274A" w:rsidRDefault="00000000">
      <w:pPr>
        <w:pStyle w:val="Heading2"/>
        <w:ind w:left="-5"/>
      </w:pPr>
      <w:r>
        <w:rPr>
          <w:b/>
        </w:rPr>
        <w:t>F.</w:t>
      </w:r>
      <w:r>
        <w:t xml:space="preserve"> 6) Simulation and Optimization</w:t>
      </w:r>
    </w:p>
    <w:p w14:paraId="4320E7C2" w14:textId="30F6DB1A" w:rsidR="0021274A" w:rsidRDefault="00000000">
      <w:pPr>
        <w:ind w:left="-5"/>
      </w:pPr>
      <w:r>
        <w:t xml:space="preserve">A discrete-time simulator propagates capacity loss, lead-time shifts, yield changes, transit delays, and allocation rules through the network. Candidate mitigations may include </w:t>
      </w:r>
      <w:r w:rsidR="009D33F9">
        <w:t>switching suppliers</w:t>
      </w:r>
      <w:r>
        <w:t>, rerouting, reallocating scarce inventory, rescheduling production, qualifying a substitute, splitting volume, or negotiating due dates. Optimization is constrained by approved suppliers, technical compatibility, minimum order quantities, capacity, cost ceilings, and customer priority.</w:t>
      </w:r>
    </w:p>
    <w:p w14:paraId="6067DBBC" w14:textId="77777777" w:rsidR="0021274A" w:rsidRDefault="00000000">
      <w:pPr>
        <w:pStyle w:val="Heading2"/>
        <w:ind w:left="-5"/>
      </w:pPr>
      <w:r>
        <w:rPr>
          <w:b/>
        </w:rPr>
        <w:t>G.</w:t>
      </w:r>
      <w:r>
        <w:t xml:space="preserve"> 7) Agent Orchestration</w:t>
      </w:r>
    </w:p>
    <w:p w14:paraId="0B65A879" w14:textId="20003B83" w:rsidR="0021274A" w:rsidRDefault="00000000">
      <w:pPr>
        <w:ind w:left="-5"/>
      </w:pPr>
      <w:r>
        <w:t xml:space="preserve">Specialized </w:t>
      </w:r>
      <w:r w:rsidR="000155FD">
        <w:t xml:space="preserve">AI </w:t>
      </w:r>
      <w:r>
        <w:t xml:space="preserve">agents have narrow roles: </w:t>
      </w:r>
      <w:r>
        <w:rPr>
          <w:b/>
        </w:rPr>
        <w:t>Scout</w:t>
      </w:r>
      <w:r>
        <w:t xml:space="preserve"> retrieves potential events; </w:t>
      </w:r>
      <w:r>
        <w:rPr>
          <w:b/>
        </w:rPr>
        <w:t>Extractor</w:t>
      </w:r>
      <w:r>
        <w:t xml:space="preserve"> structures claims; </w:t>
      </w:r>
      <w:r>
        <w:rPr>
          <w:b/>
        </w:rPr>
        <w:t>Verifier</w:t>
      </w:r>
      <w:r>
        <w:t xml:space="preserve"> </w:t>
      </w:r>
      <w:r w:rsidR="000155FD">
        <w:t>filters out faulty information</w:t>
      </w:r>
      <w:r>
        <w:t xml:space="preserve">; </w:t>
      </w:r>
      <w:r>
        <w:rPr>
          <w:b/>
        </w:rPr>
        <w:t xml:space="preserve">Mapper </w:t>
      </w:r>
      <w:r>
        <w:t xml:space="preserve">resolves graph entities; </w:t>
      </w:r>
      <w:r>
        <w:rPr>
          <w:b/>
        </w:rPr>
        <w:t>Analyst</w:t>
      </w:r>
      <w:r>
        <w:t xml:space="preserve"> requests deterministic scenarios; </w:t>
      </w:r>
      <w:r>
        <w:rPr>
          <w:b/>
        </w:rPr>
        <w:t>Planner</w:t>
      </w:r>
      <w:r>
        <w:t xml:space="preserve"> ranks feasible responses; and </w:t>
      </w:r>
      <w:r>
        <w:rPr>
          <w:b/>
        </w:rPr>
        <w:t>Communicator</w:t>
      </w:r>
      <w:r>
        <w:t xml:space="preserve"> drafts internal alerts or supplier/customer </w:t>
      </w:r>
      <w:r w:rsidR="000155FD">
        <w:t>emails</w:t>
      </w:r>
      <w:r>
        <w:t>. A policy gateway mediates all tools.</w:t>
      </w:r>
    </w:p>
    <w:p w14:paraId="55FCD005" w14:textId="77777777" w:rsidR="0021274A" w:rsidRDefault="00000000">
      <w:pPr>
        <w:spacing w:after="5"/>
        <w:ind w:left="-5"/>
      </w:pPr>
      <w:r>
        <w:t>Model Context Protocol (MCP) is one possible interoperability layer for connecting AI applications to external resources, prompts, and tools [17]. In this design, an MCP server may expose a read-only inventory query or a draft-email operation. MCP is not itself a security boundary; authentication, authorization, validation, and approval remain application responsibilities.</w:t>
      </w:r>
    </w:p>
    <w:tbl>
      <w:tblPr>
        <w:tblStyle w:val="TableGrid"/>
        <w:tblW w:w="4757" w:type="dxa"/>
        <w:tblInd w:w="0" w:type="dxa"/>
        <w:tblCellMar>
          <w:top w:w="87" w:type="dxa"/>
          <w:left w:w="60" w:type="dxa"/>
          <w:right w:w="115" w:type="dxa"/>
        </w:tblCellMar>
        <w:tblLook w:val="04A0" w:firstRow="1" w:lastRow="0" w:firstColumn="1" w:lastColumn="0" w:noHBand="0" w:noVBand="1"/>
      </w:tblPr>
      <w:tblGrid>
        <w:gridCol w:w="1248"/>
        <w:gridCol w:w="1757"/>
        <w:gridCol w:w="1752"/>
      </w:tblGrid>
      <w:tr w:rsidR="0021274A" w14:paraId="3BC62845"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17365D"/>
          </w:tcPr>
          <w:p w14:paraId="5EC53425" w14:textId="0EFD9EF0" w:rsidR="0021274A" w:rsidRDefault="000155FD">
            <w:pPr>
              <w:spacing w:after="0" w:line="259" w:lineRule="auto"/>
              <w:ind w:left="0" w:firstLine="0"/>
              <w:jc w:val="left"/>
            </w:pPr>
            <w:r>
              <w:rPr>
                <w:rFonts w:ascii="Arial" w:eastAsia="Arial" w:hAnsi="Arial" w:cs="Arial"/>
                <w:b/>
                <w:color w:val="FFFFFF"/>
                <w:sz w:val="12"/>
              </w:rPr>
              <w:t>AI Agent</w:t>
            </w:r>
          </w:p>
        </w:tc>
        <w:tc>
          <w:tcPr>
            <w:tcW w:w="1757" w:type="dxa"/>
            <w:tcBorders>
              <w:top w:val="single" w:sz="2" w:space="0" w:color="AAB7C4"/>
              <w:left w:val="single" w:sz="2" w:space="0" w:color="AAB7C4"/>
              <w:bottom w:val="single" w:sz="2" w:space="0" w:color="AAB7C4"/>
              <w:right w:val="single" w:sz="2" w:space="0" w:color="AAB7C4"/>
            </w:tcBorders>
            <w:shd w:val="clear" w:color="auto" w:fill="17365D"/>
          </w:tcPr>
          <w:p w14:paraId="4E6E5199" w14:textId="77777777" w:rsidR="0021274A" w:rsidRDefault="00000000">
            <w:pPr>
              <w:spacing w:after="0" w:line="259" w:lineRule="auto"/>
              <w:ind w:left="0" w:firstLine="0"/>
              <w:jc w:val="left"/>
            </w:pPr>
            <w:r>
              <w:rPr>
                <w:rFonts w:ascii="Arial" w:eastAsia="Arial" w:hAnsi="Arial" w:cs="Arial"/>
                <w:b/>
                <w:color w:val="FFFFFF"/>
                <w:sz w:val="12"/>
              </w:rPr>
              <w:t>Permitted output</w:t>
            </w:r>
          </w:p>
        </w:tc>
        <w:tc>
          <w:tcPr>
            <w:tcW w:w="1752" w:type="dxa"/>
            <w:tcBorders>
              <w:top w:val="single" w:sz="2" w:space="0" w:color="AAB7C4"/>
              <w:left w:val="single" w:sz="2" w:space="0" w:color="AAB7C4"/>
              <w:bottom w:val="single" w:sz="2" w:space="0" w:color="AAB7C4"/>
              <w:right w:val="single" w:sz="2" w:space="0" w:color="AAB7C4"/>
            </w:tcBorders>
            <w:shd w:val="clear" w:color="auto" w:fill="17365D"/>
          </w:tcPr>
          <w:p w14:paraId="793D3278" w14:textId="77777777" w:rsidR="0021274A" w:rsidRDefault="00000000">
            <w:pPr>
              <w:spacing w:after="0" w:line="259" w:lineRule="auto"/>
              <w:ind w:left="0" w:firstLine="0"/>
              <w:jc w:val="left"/>
            </w:pPr>
            <w:r>
              <w:rPr>
                <w:rFonts w:ascii="Arial" w:eastAsia="Arial" w:hAnsi="Arial" w:cs="Arial"/>
                <w:b/>
                <w:color w:val="FFFFFF"/>
                <w:sz w:val="12"/>
              </w:rPr>
              <w:t>Prohibited by default</w:t>
            </w:r>
          </w:p>
        </w:tc>
      </w:tr>
      <w:tr w:rsidR="0021274A" w14:paraId="408A017F"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3C03B084" w14:textId="77777777" w:rsidR="0021274A" w:rsidRDefault="00000000">
            <w:pPr>
              <w:spacing w:after="0" w:line="259" w:lineRule="auto"/>
              <w:ind w:left="0" w:firstLine="0"/>
              <w:jc w:val="left"/>
            </w:pPr>
            <w:r>
              <w:rPr>
                <w:rFonts w:ascii="Arial" w:eastAsia="Arial" w:hAnsi="Arial" w:cs="Arial"/>
                <w:sz w:val="12"/>
              </w:rPr>
              <w:t>Scout</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74977C6F" w14:textId="77777777" w:rsidR="0021274A" w:rsidRDefault="00000000">
            <w:pPr>
              <w:spacing w:after="0" w:line="259" w:lineRule="auto"/>
              <w:ind w:left="0" w:firstLine="0"/>
              <w:jc w:val="left"/>
            </w:pPr>
            <w:r>
              <w:rPr>
                <w:rFonts w:ascii="Arial" w:eastAsia="Arial" w:hAnsi="Arial" w:cs="Arial"/>
                <w:sz w:val="12"/>
              </w:rPr>
              <w:t>Candidate URLs/events</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728DAF46" w14:textId="77777777" w:rsidR="0021274A" w:rsidRDefault="00000000">
            <w:pPr>
              <w:spacing w:after="0" w:line="259" w:lineRule="auto"/>
              <w:ind w:left="0" w:firstLine="0"/>
              <w:jc w:val="left"/>
            </w:pPr>
            <w:r>
              <w:rPr>
                <w:rFonts w:ascii="Arial" w:eastAsia="Arial" w:hAnsi="Arial" w:cs="Arial"/>
                <w:sz w:val="12"/>
              </w:rPr>
              <w:t>Bypass source policy</w:t>
            </w:r>
          </w:p>
        </w:tc>
      </w:tr>
      <w:tr w:rsidR="0021274A" w14:paraId="3B5F70B2"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EAF2F8"/>
          </w:tcPr>
          <w:p w14:paraId="096842BA" w14:textId="77777777" w:rsidR="0021274A" w:rsidRDefault="00000000">
            <w:pPr>
              <w:spacing w:after="0" w:line="259" w:lineRule="auto"/>
              <w:ind w:left="0" w:firstLine="0"/>
              <w:jc w:val="left"/>
            </w:pPr>
            <w:r>
              <w:rPr>
                <w:rFonts w:ascii="Arial" w:eastAsia="Arial" w:hAnsi="Arial" w:cs="Arial"/>
                <w:sz w:val="12"/>
              </w:rPr>
              <w:t>Extractor</w:t>
            </w:r>
          </w:p>
        </w:tc>
        <w:tc>
          <w:tcPr>
            <w:tcW w:w="1757" w:type="dxa"/>
            <w:tcBorders>
              <w:top w:val="single" w:sz="2" w:space="0" w:color="AAB7C4"/>
              <w:left w:val="single" w:sz="2" w:space="0" w:color="AAB7C4"/>
              <w:bottom w:val="single" w:sz="2" w:space="0" w:color="AAB7C4"/>
              <w:right w:val="single" w:sz="2" w:space="0" w:color="AAB7C4"/>
            </w:tcBorders>
            <w:shd w:val="clear" w:color="auto" w:fill="EAF2F8"/>
          </w:tcPr>
          <w:p w14:paraId="7FD48806" w14:textId="77777777" w:rsidR="0021274A" w:rsidRDefault="00000000">
            <w:pPr>
              <w:spacing w:after="0" w:line="259" w:lineRule="auto"/>
              <w:ind w:left="0" w:firstLine="0"/>
              <w:jc w:val="left"/>
            </w:pPr>
            <w:r>
              <w:rPr>
                <w:rFonts w:ascii="Arial" w:eastAsia="Arial" w:hAnsi="Arial" w:cs="Arial"/>
                <w:sz w:val="12"/>
              </w:rPr>
              <w:t>Schema + evidence spans</w:t>
            </w:r>
          </w:p>
        </w:tc>
        <w:tc>
          <w:tcPr>
            <w:tcW w:w="1752" w:type="dxa"/>
            <w:tcBorders>
              <w:top w:val="single" w:sz="2" w:space="0" w:color="AAB7C4"/>
              <w:left w:val="single" w:sz="2" w:space="0" w:color="AAB7C4"/>
              <w:bottom w:val="single" w:sz="2" w:space="0" w:color="AAB7C4"/>
              <w:right w:val="single" w:sz="2" w:space="0" w:color="AAB7C4"/>
            </w:tcBorders>
            <w:shd w:val="clear" w:color="auto" w:fill="EAF2F8"/>
          </w:tcPr>
          <w:p w14:paraId="17733FB3" w14:textId="77777777" w:rsidR="0021274A" w:rsidRDefault="00000000">
            <w:pPr>
              <w:spacing w:after="0" w:line="259" w:lineRule="auto"/>
              <w:ind w:left="0" w:firstLine="0"/>
              <w:jc w:val="left"/>
            </w:pPr>
            <w:r>
              <w:rPr>
                <w:rFonts w:ascii="Arial" w:eastAsia="Arial" w:hAnsi="Arial" w:cs="Arial"/>
                <w:sz w:val="12"/>
              </w:rPr>
              <w:t>Invent missing fields</w:t>
            </w:r>
          </w:p>
        </w:tc>
      </w:tr>
      <w:tr w:rsidR="0021274A" w14:paraId="019D1B71"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57733F1E" w14:textId="77777777" w:rsidR="0021274A" w:rsidRDefault="00000000">
            <w:pPr>
              <w:spacing w:after="0" w:line="259" w:lineRule="auto"/>
              <w:ind w:left="0" w:firstLine="0"/>
              <w:jc w:val="left"/>
            </w:pPr>
            <w:r>
              <w:rPr>
                <w:rFonts w:ascii="Arial" w:eastAsia="Arial" w:hAnsi="Arial" w:cs="Arial"/>
                <w:sz w:val="12"/>
              </w:rPr>
              <w:t>Analyst</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7B4955A9" w14:textId="77777777" w:rsidR="0021274A" w:rsidRDefault="00000000">
            <w:pPr>
              <w:spacing w:after="0" w:line="259" w:lineRule="auto"/>
              <w:ind w:left="0" w:firstLine="0"/>
              <w:jc w:val="left"/>
            </w:pPr>
            <w:r>
              <w:rPr>
                <w:rFonts w:ascii="Arial" w:eastAsia="Arial" w:hAnsi="Arial" w:cs="Arial"/>
                <w:sz w:val="12"/>
              </w:rPr>
              <w:t>Scenario request/result</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47682696" w14:textId="77777777" w:rsidR="0021274A" w:rsidRDefault="00000000">
            <w:pPr>
              <w:spacing w:after="0" w:line="259" w:lineRule="auto"/>
              <w:ind w:left="0" w:firstLine="0"/>
              <w:jc w:val="left"/>
            </w:pPr>
            <w:r>
              <w:rPr>
                <w:rFonts w:ascii="Arial" w:eastAsia="Arial" w:hAnsi="Arial" w:cs="Arial"/>
                <w:sz w:val="12"/>
              </w:rPr>
              <w:t>Override calculator</w:t>
            </w:r>
          </w:p>
        </w:tc>
      </w:tr>
      <w:tr w:rsidR="0021274A" w14:paraId="37794854"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EAF2F8"/>
          </w:tcPr>
          <w:p w14:paraId="03327474" w14:textId="77777777" w:rsidR="0021274A" w:rsidRDefault="00000000">
            <w:pPr>
              <w:spacing w:after="0" w:line="259" w:lineRule="auto"/>
              <w:ind w:left="0" w:firstLine="0"/>
              <w:jc w:val="left"/>
            </w:pPr>
            <w:r>
              <w:rPr>
                <w:rFonts w:ascii="Arial" w:eastAsia="Arial" w:hAnsi="Arial" w:cs="Arial"/>
                <w:sz w:val="12"/>
              </w:rPr>
              <w:t>Planner</w:t>
            </w:r>
          </w:p>
        </w:tc>
        <w:tc>
          <w:tcPr>
            <w:tcW w:w="1757" w:type="dxa"/>
            <w:tcBorders>
              <w:top w:val="single" w:sz="2" w:space="0" w:color="AAB7C4"/>
              <w:left w:val="single" w:sz="2" w:space="0" w:color="AAB7C4"/>
              <w:bottom w:val="single" w:sz="2" w:space="0" w:color="AAB7C4"/>
              <w:right w:val="single" w:sz="2" w:space="0" w:color="AAB7C4"/>
            </w:tcBorders>
            <w:shd w:val="clear" w:color="auto" w:fill="EAF2F8"/>
          </w:tcPr>
          <w:p w14:paraId="41AA34AC" w14:textId="77777777" w:rsidR="0021274A" w:rsidRDefault="00000000">
            <w:pPr>
              <w:spacing w:after="0" w:line="259" w:lineRule="auto"/>
              <w:ind w:left="0" w:firstLine="0"/>
              <w:jc w:val="left"/>
            </w:pPr>
            <w:r>
              <w:rPr>
                <w:rFonts w:ascii="Arial" w:eastAsia="Arial" w:hAnsi="Arial" w:cs="Arial"/>
                <w:sz w:val="12"/>
              </w:rPr>
              <w:t>Ranked options</w:t>
            </w:r>
          </w:p>
        </w:tc>
        <w:tc>
          <w:tcPr>
            <w:tcW w:w="1752" w:type="dxa"/>
            <w:tcBorders>
              <w:top w:val="single" w:sz="2" w:space="0" w:color="AAB7C4"/>
              <w:left w:val="single" w:sz="2" w:space="0" w:color="AAB7C4"/>
              <w:bottom w:val="single" w:sz="2" w:space="0" w:color="AAB7C4"/>
              <w:right w:val="single" w:sz="2" w:space="0" w:color="AAB7C4"/>
            </w:tcBorders>
            <w:shd w:val="clear" w:color="auto" w:fill="EAF2F8"/>
          </w:tcPr>
          <w:p w14:paraId="39B3881B" w14:textId="77777777" w:rsidR="0021274A" w:rsidRDefault="00000000">
            <w:pPr>
              <w:spacing w:after="0" w:line="259" w:lineRule="auto"/>
              <w:ind w:left="0" w:firstLine="0"/>
              <w:jc w:val="left"/>
            </w:pPr>
            <w:r>
              <w:rPr>
                <w:rFonts w:ascii="Arial" w:eastAsia="Arial" w:hAnsi="Arial" w:cs="Arial"/>
                <w:sz w:val="12"/>
              </w:rPr>
              <w:t>Commit purchase/order</w:t>
            </w:r>
          </w:p>
        </w:tc>
      </w:tr>
      <w:tr w:rsidR="0021274A" w14:paraId="79BEC205" w14:textId="77777777">
        <w:trPr>
          <w:trHeight w:val="244"/>
        </w:trPr>
        <w:tc>
          <w:tcPr>
            <w:tcW w:w="1247" w:type="dxa"/>
            <w:tcBorders>
              <w:top w:val="single" w:sz="2" w:space="0" w:color="AAB7C4"/>
              <w:left w:val="single" w:sz="2" w:space="0" w:color="AAB7C4"/>
              <w:bottom w:val="single" w:sz="2" w:space="0" w:color="AAB7C4"/>
              <w:right w:val="single" w:sz="2" w:space="0" w:color="AAB7C4"/>
            </w:tcBorders>
            <w:shd w:val="clear" w:color="auto" w:fill="FFFFFF"/>
          </w:tcPr>
          <w:p w14:paraId="42D89429" w14:textId="77777777" w:rsidR="0021274A" w:rsidRDefault="00000000">
            <w:pPr>
              <w:spacing w:after="0" w:line="259" w:lineRule="auto"/>
              <w:ind w:left="0" w:firstLine="0"/>
              <w:jc w:val="left"/>
            </w:pPr>
            <w:r>
              <w:rPr>
                <w:rFonts w:ascii="Arial" w:eastAsia="Arial" w:hAnsi="Arial" w:cs="Arial"/>
                <w:sz w:val="12"/>
              </w:rPr>
              <w:t>Communicator</w:t>
            </w:r>
          </w:p>
        </w:tc>
        <w:tc>
          <w:tcPr>
            <w:tcW w:w="1757" w:type="dxa"/>
            <w:tcBorders>
              <w:top w:val="single" w:sz="2" w:space="0" w:color="AAB7C4"/>
              <w:left w:val="single" w:sz="2" w:space="0" w:color="AAB7C4"/>
              <w:bottom w:val="single" w:sz="2" w:space="0" w:color="AAB7C4"/>
              <w:right w:val="single" w:sz="2" w:space="0" w:color="AAB7C4"/>
            </w:tcBorders>
            <w:shd w:val="clear" w:color="auto" w:fill="FFFFFF"/>
          </w:tcPr>
          <w:p w14:paraId="09B8B3FA" w14:textId="77777777" w:rsidR="0021274A" w:rsidRDefault="00000000">
            <w:pPr>
              <w:spacing w:after="0" w:line="259" w:lineRule="auto"/>
              <w:ind w:left="0" w:firstLine="0"/>
              <w:jc w:val="left"/>
            </w:pPr>
            <w:r>
              <w:rPr>
                <w:rFonts w:ascii="Arial" w:eastAsia="Arial" w:hAnsi="Arial" w:cs="Arial"/>
                <w:sz w:val="12"/>
              </w:rPr>
              <w:t>Draft message</w:t>
            </w:r>
          </w:p>
        </w:tc>
        <w:tc>
          <w:tcPr>
            <w:tcW w:w="1752" w:type="dxa"/>
            <w:tcBorders>
              <w:top w:val="single" w:sz="2" w:space="0" w:color="AAB7C4"/>
              <w:left w:val="single" w:sz="2" w:space="0" w:color="AAB7C4"/>
              <w:bottom w:val="single" w:sz="2" w:space="0" w:color="AAB7C4"/>
              <w:right w:val="single" w:sz="2" w:space="0" w:color="AAB7C4"/>
            </w:tcBorders>
            <w:shd w:val="clear" w:color="auto" w:fill="FFFFFF"/>
          </w:tcPr>
          <w:p w14:paraId="0DDD3173" w14:textId="77777777" w:rsidR="0021274A" w:rsidRDefault="00000000">
            <w:pPr>
              <w:spacing w:after="0" w:line="259" w:lineRule="auto"/>
              <w:ind w:left="0" w:firstLine="0"/>
              <w:jc w:val="left"/>
            </w:pPr>
            <w:r>
              <w:rPr>
                <w:rFonts w:ascii="Arial" w:eastAsia="Arial" w:hAnsi="Arial" w:cs="Arial"/>
                <w:sz w:val="12"/>
              </w:rPr>
              <w:t>External send</w:t>
            </w:r>
          </w:p>
        </w:tc>
      </w:tr>
    </w:tbl>
    <w:p w14:paraId="26263154" w14:textId="77777777" w:rsidR="0021274A" w:rsidRDefault="00000000">
      <w:pPr>
        <w:spacing w:line="251" w:lineRule="auto"/>
        <w:jc w:val="center"/>
      </w:pPr>
      <w:r>
        <w:rPr>
          <w:color w:val="4B5563"/>
          <w:sz w:val="14"/>
        </w:rPr>
        <w:t>TABLE V. SEPARATION OF AGENT DUTIES</w:t>
      </w:r>
    </w:p>
    <w:p w14:paraId="223F3291" w14:textId="77777777" w:rsidR="0021274A" w:rsidRDefault="00000000">
      <w:pPr>
        <w:pStyle w:val="Heading2"/>
        <w:ind w:left="-5"/>
      </w:pPr>
      <w:r>
        <w:rPr>
          <w:b/>
        </w:rPr>
        <w:t>H.</w:t>
      </w:r>
      <w:r>
        <w:t xml:space="preserve"> 8) Explainability and Interface</w:t>
      </w:r>
    </w:p>
    <w:p w14:paraId="6D83B05A" w14:textId="77777777" w:rsidR="0021274A" w:rsidRDefault="00000000">
      <w:pPr>
        <w:ind w:left="-5"/>
      </w:pPr>
      <w:r>
        <w:t>Every alert presents six linked cards: event facts; evidence and source quality; affected graph path; operational assumptions; quantitative impacts; and response options. Confidence is decomposed into source reliability, extraction confidence, entity-match confidence, and model uncertainty. The interface avoids a single opaque 'AI confidence' number.</w:t>
      </w:r>
    </w:p>
    <w:p w14:paraId="70115811" w14:textId="4C4B7C38" w:rsidR="0021274A" w:rsidRDefault="00000000">
      <w:pPr>
        <w:ind w:left="-5"/>
      </w:pPr>
      <w:r>
        <w:t>A</w:t>
      </w:r>
      <w:r w:rsidR="00D71D02">
        <w:t>n</w:t>
      </w:r>
      <w:r w:rsidR="008A433C">
        <w:t xml:space="preserve"> LLM</w:t>
      </w:r>
      <w:r>
        <w:t xml:space="preserve"> recommended action includes the expected service benefit, incremental</w:t>
      </w:r>
      <w:r w:rsidR="004566C5">
        <w:t xml:space="preserve"> </w:t>
      </w:r>
      <w:r>
        <w:t>cost,</w:t>
      </w:r>
      <w:r w:rsidR="004566C5">
        <w:t xml:space="preserve"> </w:t>
      </w:r>
      <w:r>
        <w:t>implementation time, prerequisites, owner, reversibility, and re</w:t>
      </w:r>
      <w:r w:rsidR="00661B0C">
        <w:t>sidual</w:t>
      </w:r>
      <w:r>
        <w:t xml:space="preserve"> risk. Users may change assumptions and rerun the scenario. A comparison view shows the baseline and each mitigation</w:t>
      </w:r>
      <w:r w:rsidR="000155FD">
        <w:t xml:space="preserve"> strategy</w:t>
      </w:r>
      <w:r>
        <w:t xml:space="preserve"> under the same snapshot.</w:t>
      </w:r>
    </w:p>
    <w:p w14:paraId="646C6941" w14:textId="77777777" w:rsidR="0021274A" w:rsidRDefault="00000000">
      <w:pPr>
        <w:pStyle w:val="Heading2"/>
        <w:ind w:left="-5"/>
      </w:pPr>
      <w:r>
        <w:rPr>
          <w:b/>
        </w:rPr>
        <w:lastRenderedPageBreak/>
        <w:t>I.</w:t>
      </w:r>
      <w:r>
        <w:t xml:space="preserve"> 9) Alert and Communication Flow</w:t>
      </w:r>
    </w:p>
    <w:p w14:paraId="2E0EBDCD" w14:textId="6E51C90E" w:rsidR="0021274A" w:rsidRDefault="008A433C">
      <w:pPr>
        <w:ind w:left="-5"/>
      </w:pPr>
      <w:r w:rsidRPr="008A433C">
        <w:t xml:space="preserve">Alerts are severity- and role-aware. Low-confidence events request verification, material events notify the designated incident channel, and external communications remain strictly reviewable drafts until approval. </w:t>
      </w:r>
      <w:r w:rsidRPr="008A433C">
        <w:rPr>
          <w:b/>
          <w:bCs/>
        </w:rPr>
        <w:t xml:space="preserve">The system leverages </w:t>
      </w:r>
      <w:r w:rsidRPr="008A433C">
        <w:t>Natural Language Processing (NLP) to dynamically generate context-aware email drafts that populate key operational details for external stakeholders</w:t>
      </w:r>
      <w:r w:rsidRPr="008A433C">
        <w:rPr>
          <w:b/>
          <w:bCs/>
        </w:rPr>
        <w:t>.</w:t>
      </w:r>
      <w:r w:rsidRPr="008A433C">
        <w:t xml:space="preserve"> For suppliers, NLP constructs targeted inquiries requesting facility status, available capacity, revised lead times, and the next update window. For customers, NLP generates professional status updates that disclose only authorized facts, tailor information to the specific order context, and strictly avoid unsupported certainty</w:t>
      </w:r>
      <w:r>
        <w:t>.</w:t>
      </w:r>
    </w:p>
    <w:p w14:paraId="000799FD" w14:textId="53E79A45" w:rsidR="0021274A" w:rsidRDefault="00000000" w:rsidP="000155FD">
      <w:pPr>
        <w:ind w:left="-5"/>
        <w:sectPr w:rsidR="0021274A">
          <w:type w:val="continuous"/>
          <w:pgSz w:w="11906" w:h="16838"/>
          <w:pgMar w:top="1086" w:right="992" w:bottom="3089" w:left="992" w:header="720" w:footer="720" w:gutter="0"/>
          <w:cols w:num="2" w:space="408"/>
        </w:sectPr>
      </w:pPr>
      <w:r>
        <w:t xml:space="preserve">The design converts </w:t>
      </w:r>
      <w:r w:rsidR="008A433C">
        <w:t>AI-generated</w:t>
      </w:r>
      <w:r>
        <w:t xml:space="preserve"> output into a reviewable </w:t>
      </w:r>
      <w:r w:rsidR="000155FD">
        <w:t>draft</w:t>
      </w:r>
      <w:r>
        <w:t xml:space="preserve"> rather than an irreversible action. Each approval records the reviewer, timestamp, message version, recipients, attached evidence, and downstream tool result.</w:t>
      </w:r>
      <w:r w:rsidR="000155FD">
        <w:t xml:space="preserve"> By including human in the loop, Chainsilience AI guarantees that operations are within ethical boundaries as final decisions are made by humans, </w:t>
      </w:r>
      <w:r w:rsidR="008A433C" w:rsidRPr="008A433C">
        <w:t>while NLP and LLM components strictly provide decision support</w:t>
      </w:r>
      <w:r w:rsidR="008A433C">
        <w:t>.</w:t>
      </w:r>
    </w:p>
    <w:p w14:paraId="3EAB2D84" w14:textId="77777777" w:rsidR="0021274A" w:rsidRDefault="00000000">
      <w:pPr>
        <w:pStyle w:val="Heading1"/>
      </w:pPr>
      <w:r>
        <w:rPr>
          <w:b/>
        </w:rPr>
        <w:lastRenderedPageBreak/>
        <w:t>IV.</w:t>
      </w:r>
      <w:r>
        <w:t xml:space="preserve"> RISK ANALYSIS AND RESPONSE GENERATION</w:t>
      </w:r>
    </w:p>
    <w:p w14:paraId="2A0ACD78" w14:textId="5ED35697" w:rsidR="004E0D4F" w:rsidRDefault="004E0D4F">
      <w:pPr>
        <w:ind w:left="-5"/>
      </w:pPr>
      <w:r w:rsidRPr="004E0D4F">
        <w:rPr>
          <w:b/>
          <w:i/>
          <w:iCs/>
        </w:rPr>
        <w:t>A</w:t>
      </w:r>
      <w:r>
        <w:rPr>
          <w:b/>
        </w:rPr>
        <w:t>.</w:t>
      </w:r>
      <w:r>
        <w:t xml:space="preserve"> </w:t>
      </w:r>
      <w:r w:rsidRPr="004E0D4F">
        <w:rPr>
          <w:i/>
          <w:iCs/>
        </w:rPr>
        <w:t>Risk Decomposition</w:t>
      </w:r>
    </w:p>
    <w:p w14:paraId="756E5E58" w14:textId="4A368EA3" w:rsidR="0021274A" w:rsidRDefault="00000000">
      <w:pPr>
        <w:ind w:left="-5"/>
      </w:pPr>
      <w:r>
        <w:t xml:space="preserve">Risk is modeled as a set of decision variables, not a free-form LLM judgment. For event </w:t>
      </w:r>
      <w:r>
        <w:rPr>
          <w:i/>
        </w:rPr>
        <w:t>e</w:t>
      </w:r>
      <w:r>
        <w:t xml:space="preserve"> and asset, part, or order </w:t>
      </w:r>
      <w:r>
        <w:rPr>
          <w:i/>
        </w:rPr>
        <w:t>i</w:t>
      </w:r>
      <w:r>
        <w:t>, the normalized score is:</w:t>
      </w:r>
    </w:p>
    <w:p w14:paraId="2876DFB7" w14:textId="0A09B3E3" w:rsidR="0021274A" w:rsidRDefault="00C60D3A">
      <w:pPr>
        <w:spacing w:after="377"/>
        <w:ind w:left="-5"/>
      </w:pPr>
      <w:r w:rsidRPr="00C60D3A">
        <w:rPr>
          <w:b/>
          <w:noProof/>
          <w:sz w:val="16"/>
        </w:rPr>
        <w:drawing>
          <wp:inline distT="0" distB="0" distL="0" distR="0" wp14:anchorId="3FFB7AC5" wp14:editId="0B44926D">
            <wp:extent cx="3020695" cy="347345"/>
            <wp:effectExtent l="0" t="0" r="8255" b="0"/>
            <wp:docPr id="21070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1594" name=""/>
                    <pic:cNvPicPr/>
                  </pic:nvPicPr>
                  <pic:blipFill>
                    <a:blip r:embed="rId18"/>
                    <a:stretch>
                      <a:fillRect/>
                    </a:stretch>
                  </pic:blipFill>
                  <pic:spPr>
                    <a:xfrm>
                      <a:off x="0" y="0"/>
                      <a:ext cx="3020695" cy="347345"/>
                    </a:xfrm>
                    <a:prstGeom prst="rect">
                      <a:avLst/>
                    </a:prstGeom>
                  </pic:spPr>
                </pic:pic>
              </a:graphicData>
            </a:graphic>
          </wp:inline>
        </w:drawing>
      </w:r>
      <w:r>
        <w:t xml:space="preserve">Here, </w:t>
      </w:r>
      <w:r>
        <w:rPr>
          <w:i/>
        </w:rPr>
        <w:t>C</w:t>
      </w:r>
      <w:r>
        <w:t xml:space="preserve"> is evidence confidence; </w:t>
      </w:r>
      <w:r>
        <w:rPr>
          <w:i/>
        </w:rPr>
        <w:t>H</w:t>
      </w:r>
      <w:r>
        <w:t xml:space="preserve"> is hazard severity and duration; </w:t>
      </w:r>
      <w:r>
        <w:rPr>
          <w:i/>
        </w:rPr>
        <w:t>X</w:t>
      </w:r>
      <w:r>
        <w:t xml:space="preserve"> is exposure through location, route, or dependency; </w:t>
      </w:r>
      <w:r>
        <w:rPr>
          <w:i/>
        </w:rPr>
        <w:t>V</w:t>
      </w:r>
      <w:r>
        <w:t xml:space="preserve"> is vulnerability from concentration, substitutability, and recovery time; </w:t>
      </w:r>
      <w:r>
        <w:rPr>
          <w:i/>
        </w:rPr>
        <w:t>T</w:t>
      </w:r>
      <w:r>
        <w:t xml:space="preserve"> is time criticality from demand and inventory; and </w:t>
      </w:r>
      <w:r>
        <w:rPr>
          <w:i/>
        </w:rPr>
        <w:t>M</w:t>
      </w:r>
      <w:r>
        <w:t xml:space="preserve"> is mitigation strength. Inputs are scaled to [0,1], </w:t>
      </w:r>
      <w:r w:rsidRPr="00C60D3A">
        <w:rPr>
          <w:i/>
          <w:iCs/>
        </w:rPr>
        <w:t>w</w:t>
      </w:r>
      <w:r>
        <w:t xml:space="preserve"> refers to respective weights for each risk factor, which are versioned by use case, and the bracketed term is a weighted sum clipped to [0,1]. The score ranks attention; it is not a probability.</w:t>
      </w:r>
    </w:p>
    <w:tbl>
      <w:tblPr>
        <w:tblStyle w:val="TableGrid"/>
        <w:tblW w:w="4473" w:type="dxa"/>
        <w:tblInd w:w="113" w:type="dxa"/>
        <w:tblCellMar>
          <w:left w:w="115" w:type="dxa"/>
          <w:right w:w="115" w:type="dxa"/>
        </w:tblCellMar>
        <w:tblLook w:val="04A0" w:firstRow="1" w:lastRow="0" w:firstColumn="1" w:lastColumn="0" w:noHBand="0" w:noVBand="1"/>
      </w:tblPr>
      <w:tblGrid>
        <w:gridCol w:w="1565"/>
        <w:gridCol w:w="1566"/>
        <w:gridCol w:w="1342"/>
      </w:tblGrid>
      <w:tr w:rsidR="0021274A" w14:paraId="2371F72E" w14:textId="77777777">
        <w:trPr>
          <w:trHeight w:val="397"/>
        </w:trPr>
        <w:tc>
          <w:tcPr>
            <w:tcW w:w="1566" w:type="dxa"/>
            <w:tcBorders>
              <w:top w:val="nil"/>
              <w:left w:val="nil"/>
              <w:bottom w:val="nil"/>
              <w:right w:val="single" w:sz="8" w:space="0" w:color="FFFFFF"/>
            </w:tcBorders>
            <w:shd w:val="clear" w:color="auto" w:fill="D9EAD3"/>
            <w:vAlign w:val="center"/>
          </w:tcPr>
          <w:p w14:paraId="73713682" w14:textId="77777777" w:rsidR="0021274A" w:rsidRDefault="00000000">
            <w:pPr>
              <w:spacing w:after="0" w:line="259" w:lineRule="auto"/>
              <w:ind w:left="0" w:firstLine="0"/>
              <w:jc w:val="center"/>
            </w:pPr>
            <w:r>
              <w:rPr>
                <w:rFonts w:ascii="Arial" w:eastAsia="Arial" w:hAnsi="Arial" w:cs="Arial"/>
                <w:b/>
                <w:color w:val="17365D"/>
                <w:sz w:val="12"/>
              </w:rPr>
              <w:t>LOW</w:t>
            </w:r>
          </w:p>
        </w:tc>
        <w:tc>
          <w:tcPr>
            <w:tcW w:w="1566" w:type="dxa"/>
            <w:tcBorders>
              <w:top w:val="single" w:sz="8" w:space="0" w:color="FFFFFF"/>
              <w:left w:val="single" w:sz="8" w:space="0" w:color="FFFFFF"/>
              <w:bottom w:val="single" w:sz="8" w:space="0" w:color="FFFFFF"/>
              <w:right w:val="single" w:sz="8" w:space="0" w:color="FFFFFF"/>
            </w:tcBorders>
            <w:shd w:val="clear" w:color="auto" w:fill="FFF2CC"/>
            <w:vAlign w:val="center"/>
          </w:tcPr>
          <w:p w14:paraId="594520EC" w14:textId="77777777" w:rsidR="0021274A" w:rsidRDefault="00000000">
            <w:pPr>
              <w:spacing w:after="0" w:line="259" w:lineRule="auto"/>
              <w:ind w:left="0" w:firstLine="0"/>
              <w:jc w:val="center"/>
            </w:pPr>
            <w:r>
              <w:rPr>
                <w:rFonts w:ascii="Arial" w:eastAsia="Arial" w:hAnsi="Arial" w:cs="Arial"/>
                <w:b/>
                <w:color w:val="17365D"/>
                <w:sz w:val="12"/>
              </w:rPr>
              <w:t>MEDIUM</w:t>
            </w:r>
          </w:p>
        </w:tc>
        <w:tc>
          <w:tcPr>
            <w:tcW w:w="1342" w:type="dxa"/>
            <w:tcBorders>
              <w:top w:val="nil"/>
              <w:left w:val="single" w:sz="8" w:space="0" w:color="FFFFFF"/>
              <w:bottom w:val="nil"/>
              <w:right w:val="nil"/>
            </w:tcBorders>
            <w:shd w:val="clear" w:color="auto" w:fill="F4CCCC"/>
            <w:vAlign w:val="center"/>
          </w:tcPr>
          <w:p w14:paraId="4C0CD5C6" w14:textId="77777777" w:rsidR="0021274A" w:rsidRDefault="00000000">
            <w:pPr>
              <w:spacing w:after="0" w:line="259" w:lineRule="auto"/>
              <w:ind w:left="0" w:firstLine="0"/>
              <w:jc w:val="center"/>
            </w:pPr>
            <w:r>
              <w:rPr>
                <w:rFonts w:ascii="Arial" w:eastAsia="Arial" w:hAnsi="Arial" w:cs="Arial"/>
                <w:b/>
                <w:color w:val="17365D"/>
                <w:sz w:val="12"/>
              </w:rPr>
              <w:t>HIGH</w:t>
            </w:r>
          </w:p>
        </w:tc>
      </w:tr>
    </w:tbl>
    <w:p w14:paraId="662468EA" w14:textId="77777777" w:rsidR="0021274A" w:rsidRDefault="00000000">
      <w:pPr>
        <w:tabs>
          <w:tab w:val="center" w:pos="1679"/>
          <w:tab w:val="center" w:pos="3245"/>
          <w:tab w:val="center" w:pos="4490"/>
        </w:tabs>
        <w:spacing w:after="280" w:line="259" w:lineRule="auto"/>
        <w:ind w:left="0" w:firstLine="0"/>
        <w:jc w:val="left"/>
      </w:pPr>
      <w:r>
        <w:rPr>
          <w:rFonts w:ascii="Arial" w:eastAsia="Arial" w:hAnsi="Arial" w:cs="Arial"/>
          <w:sz w:val="12"/>
        </w:rPr>
        <w:t>0</w:t>
      </w:r>
      <w:r>
        <w:rPr>
          <w:rFonts w:ascii="Arial" w:eastAsia="Arial" w:hAnsi="Arial" w:cs="Arial"/>
          <w:sz w:val="12"/>
        </w:rPr>
        <w:tab/>
        <w:t>35</w:t>
      </w:r>
      <w:r>
        <w:rPr>
          <w:rFonts w:ascii="Arial" w:eastAsia="Arial" w:hAnsi="Arial" w:cs="Arial"/>
          <w:sz w:val="12"/>
        </w:rPr>
        <w:tab/>
        <w:t>70</w:t>
      </w:r>
      <w:r>
        <w:rPr>
          <w:rFonts w:ascii="Arial" w:eastAsia="Arial" w:hAnsi="Arial" w:cs="Arial"/>
          <w:sz w:val="12"/>
        </w:rPr>
        <w:tab/>
        <w:t>100</w:t>
      </w:r>
    </w:p>
    <w:p w14:paraId="1DD9C49B" w14:textId="77777777" w:rsidR="0021274A" w:rsidRDefault="00000000">
      <w:pPr>
        <w:spacing w:after="126" w:line="259" w:lineRule="auto"/>
        <w:ind w:left="55" w:firstLine="0"/>
        <w:jc w:val="left"/>
      </w:pPr>
      <w:r>
        <w:rPr>
          <w:color w:val="4B5563"/>
          <w:sz w:val="14"/>
        </w:rPr>
        <w:t>Fig. 2. Configurable triage bands. Thresholds route work; they do not replace review.</w:t>
      </w:r>
    </w:p>
    <w:p w14:paraId="465841DB" w14:textId="77777777" w:rsidR="0021274A" w:rsidRDefault="00000000">
      <w:pPr>
        <w:pStyle w:val="Heading2"/>
        <w:ind w:left="-5"/>
      </w:pPr>
      <w:r>
        <w:rPr>
          <w:b/>
        </w:rPr>
        <w:t>B.</w:t>
      </w:r>
      <w:r>
        <w:t xml:space="preserve"> Operational Metrics</w:t>
      </w:r>
    </w:p>
    <w:p w14:paraId="42E33657" w14:textId="4F828902" w:rsidR="0021274A" w:rsidRDefault="00000000">
      <w:pPr>
        <w:spacing w:after="0" w:line="216" w:lineRule="auto"/>
        <w:ind w:left="2267" w:hanging="2267"/>
        <w:jc w:val="left"/>
      </w:pPr>
      <w:r>
        <w:t xml:space="preserve">Days of cover for part </w:t>
      </w:r>
      <w:r>
        <w:rPr>
          <w:i/>
        </w:rPr>
        <w:t>p</w:t>
      </w:r>
      <w:r>
        <w:t xml:space="preserve"> is </w:t>
      </w:r>
      <w:r>
        <w:rPr>
          <w:b/>
        </w:rPr>
        <w:t>DOC = available inventory / protected</w:t>
      </w:r>
    </w:p>
    <w:p w14:paraId="588C034F" w14:textId="518ED508" w:rsidR="0021274A" w:rsidRDefault="00000000" w:rsidP="001B171E">
      <w:pPr>
        <w:spacing w:after="2"/>
        <w:ind w:left="-5"/>
      </w:pPr>
      <w:r>
        <w:rPr>
          <w:b/>
        </w:rPr>
        <w:t>daily demand</w:t>
      </w:r>
      <w:r>
        <w:t>. Available inventory excludes quarantined stock and can apply yield, expiry, and allocation factors. Projected shortage date is the fi</w:t>
      </w:r>
      <w:r w:rsidR="001B171E">
        <w:t xml:space="preserve">rst </w:t>
      </w:r>
      <w:r>
        <w:t>period where cumulative qualified supply falls below cumulative protected demand. Expected incremental cost for</w:t>
      </w:r>
      <w:r w:rsidR="00EF4C16">
        <w:t xml:space="preserve"> an</w:t>
      </w:r>
      <w:r>
        <w:t xml:space="preserve"> action is </w:t>
      </w:r>
      <w:r>
        <w:rPr>
          <w:b/>
        </w:rPr>
        <w:t>EIC = premium purchase + logistics + qualification + changeover + penalties - avoided loss</w:t>
      </w:r>
      <w:r>
        <w:t>. Values are displayed as ranges where costs or recovery times are uncertain. Financial assumptions are stored separately from source facts.</w:t>
      </w:r>
    </w:p>
    <w:p w14:paraId="1A37F281" w14:textId="77777777" w:rsidR="001B171E" w:rsidRDefault="001B171E">
      <w:pPr>
        <w:pStyle w:val="Heading2"/>
        <w:ind w:left="-5"/>
        <w:rPr>
          <w:b/>
        </w:rPr>
      </w:pPr>
    </w:p>
    <w:p w14:paraId="0E67D4BB" w14:textId="1C44E5FE" w:rsidR="0021274A" w:rsidRDefault="00000000">
      <w:pPr>
        <w:pStyle w:val="Heading2"/>
        <w:ind w:left="-5"/>
      </w:pPr>
      <w:r>
        <w:rPr>
          <w:b/>
        </w:rPr>
        <w:t>C.</w:t>
      </w:r>
      <w:r>
        <w:t xml:space="preserve"> Stoppage Probability</w:t>
      </w:r>
    </w:p>
    <w:p w14:paraId="4058B40B" w14:textId="1DCFED10" w:rsidR="0021274A" w:rsidRDefault="00000000">
      <w:pPr>
        <w:ind w:left="-5"/>
      </w:pPr>
      <w:r>
        <w:t>Production-stoppage probability is estimated</w:t>
      </w:r>
      <w:r w:rsidR="00EF4C16">
        <w:t xml:space="preserve"> by LLM</w:t>
      </w:r>
      <w:r>
        <w:t xml:space="preserve"> through Monte Carlo simulation over distributions for disruption duration, recovery, transit, yield, demand, and alternative capacity. The displayed value is the fraction of runs in which a protected line cannot meet its minimum schedule. Calibration is assessed on historical or synthetic labeled incidents; absent such evidence, the interface must label the output a scenario frequency rather than an empirical probability.</w:t>
      </w:r>
    </w:p>
    <w:p w14:paraId="25FFE6FC" w14:textId="77777777" w:rsidR="0021274A" w:rsidRDefault="00000000">
      <w:pPr>
        <w:pStyle w:val="Heading2"/>
        <w:ind w:left="-5"/>
      </w:pPr>
      <w:r>
        <w:rPr>
          <w:b/>
        </w:rPr>
        <w:t>D.</w:t>
      </w:r>
      <w:r>
        <w:t xml:space="preserve"> Response Generation</w:t>
      </w:r>
    </w:p>
    <w:p w14:paraId="654D14FB" w14:textId="14EE90E4" w:rsidR="0021274A" w:rsidRDefault="00000000">
      <w:pPr>
        <w:ind w:left="-5"/>
      </w:pPr>
      <w:r>
        <w:t xml:space="preserve">The Planner receives only verified facts, twin state, scenario results, </w:t>
      </w:r>
      <w:r w:rsidR="00EF4C16">
        <w:t xml:space="preserve">and </w:t>
      </w:r>
      <w:r>
        <w:t>constraints. It generates a diverse option set, invokes a deterministic feasibility checker, and ranks feasible options by a multi-objective score:</w:t>
      </w:r>
    </w:p>
    <w:p w14:paraId="16F9588C" w14:textId="53B11EC2" w:rsidR="008A433C" w:rsidRDefault="008A433C">
      <w:pPr>
        <w:ind w:left="-5"/>
      </w:pPr>
      <m:oMathPara>
        <m:oMath>
          <m:r>
            <w:rPr>
              <w:rFonts w:ascii="Cambria Math" w:hAnsi="Cambria Math"/>
            </w:rPr>
            <m:t>U</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w:rPr>
              <w:rFonts w:ascii="Cambria Math" w:hAnsi="Cambria Math"/>
            </w:rPr>
            <m:t>⋅</m:t>
          </m:r>
          <m:r>
            <m:rPr>
              <m:nor/>
            </m:rPr>
            <m:t>Service</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m:t>
          </m:r>
          <m:r>
            <m:rPr>
              <m:nor/>
            </m:rPr>
            <m:t>Cost</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r>
            <w:rPr>
              <w:rFonts w:ascii="Cambria Math" w:hAnsi="Cambria Math"/>
            </w:rPr>
            <m:t>⋅</m:t>
          </m:r>
          <m:r>
            <m:rPr>
              <m:nor/>
            </m:rPr>
            <m:t>ResidualRisk</m:t>
          </m:r>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r>
            <m:rPr>
              <m:nor/>
            </m:rPr>
            <m:t>ImplementationTime</m:t>
          </m:r>
          <m:d>
            <m:dPr>
              <m:ctrlPr>
                <w:rPr>
                  <w:rFonts w:ascii="Cambria Math" w:hAnsi="Cambria Math"/>
                </w:rPr>
              </m:ctrlPr>
            </m:dPr>
            <m:e>
              <m:r>
                <w:rPr>
                  <w:rFonts w:ascii="Cambria Math" w:hAnsi="Cambria Math"/>
                </w:rPr>
                <m:t>a</m:t>
              </m:r>
            </m:e>
          </m:d>
        </m:oMath>
      </m:oMathPara>
    </w:p>
    <w:p w14:paraId="6283AEA1" w14:textId="77777777" w:rsidR="0021274A" w:rsidRDefault="00000000">
      <w:pPr>
        <w:spacing w:after="5"/>
        <w:ind w:left="-5"/>
      </w:pPr>
      <w:r>
        <w:t>The interface shows each component instead of hiding the weighting. A user can select service-first, cost-first, or balanced policy profiles. No alternative supplier is recommended solely because it appears in public text: the supplier must satisfy enterprise approval, technical qualification, sanctions/export-control checks, capacity, commercial, and cybersecurity requirements.</w:t>
      </w:r>
    </w:p>
    <w:tbl>
      <w:tblPr>
        <w:tblStyle w:val="TableGrid"/>
        <w:tblW w:w="4757" w:type="dxa"/>
        <w:tblInd w:w="0" w:type="dxa"/>
        <w:tblCellMar>
          <w:top w:w="87" w:type="dxa"/>
          <w:left w:w="60" w:type="dxa"/>
          <w:right w:w="115" w:type="dxa"/>
        </w:tblCellMar>
        <w:tblLook w:val="04A0" w:firstRow="1" w:lastRow="0" w:firstColumn="1" w:lastColumn="0" w:noHBand="0" w:noVBand="1"/>
      </w:tblPr>
      <w:tblGrid>
        <w:gridCol w:w="1304"/>
        <w:gridCol w:w="1928"/>
        <w:gridCol w:w="1525"/>
      </w:tblGrid>
      <w:tr w:rsidR="0021274A" w14:paraId="075B59BE"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17365D"/>
          </w:tcPr>
          <w:p w14:paraId="70CF46BA" w14:textId="77777777" w:rsidR="0021274A" w:rsidRDefault="00000000">
            <w:pPr>
              <w:spacing w:after="0" w:line="259" w:lineRule="auto"/>
              <w:ind w:left="0" w:firstLine="0"/>
              <w:jc w:val="left"/>
            </w:pPr>
            <w:r>
              <w:rPr>
                <w:rFonts w:ascii="Arial" w:eastAsia="Arial" w:hAnsi="Arial" w:cs="Arial"/>
                <w:b/>
                <w:color w:val="FFFFFF"/>
                <w:sz w:val="12"/>
              </w:rPr>
              <w:t>Action class</w:t>
            </w:r>
          </w:p>
        </w:tc>
        <w:tc>
          <w:tcPr>
            <w:tcW w:w="1928" w:type="dxa"/>
            <w:tcBorders>
              <w:top w:val="single" w:sz="2" w:space="0" w:color="AAB7C4"/>
              <w:left w:val="single" w:sz="2" w:space="0" w:color="AAB7C4"/>
              <w:bottom w:val="single" w:sz="2" w:space="0" w:color="AAB7C4"/>
              <w:right w:val="single" w:sz="2" w:space="0" w:color="AAB7C4"/>
            </w:tcBorders>
            <w:shd w:val="clear" w:color="auto" w:fill="17365D"/>
          </w:tcPr>
          <w:p w14:paraId="5AD95185" w14:textId="77777777" w:rsidR="0021274A" w:rsidRDefault="00000000">
            <w:pPr>
              <w:spacing w:after="0" w:line="259" w:lineRule="auto"/>
              <w:ind w:left="0" w:firstLine="0"/>
              <w:jc w:val="left"/>
            </w:pPr>
            <w:r>
              <w:rPr>
                <w:rFonts w:ascii="Arial" w:eastAsia="Arial" w:hAnsi="Arial" w:cs="Arial"/>
                <w:b/>
                <w:color w:val="FFFFFF"/>
                <w:sz w:val="12"/>
              </w:rPr>
              <w:t>Feasibility checks</w:t>
            </w:r>
          </w:p>
        </w:tc>
        <w:tc>
          <w:tcPr>
            <w:tcW w:w="1525" w:type="dxa"/>
            <w:tcBorders>
              <w:top w:val="single" w:sz="2" w:space="0" w:color="AAB7C4"/>
              <w:left w:val="single" w:sz="2" w:space="0" w:color="AAB7C4"/>
              <w:bottom w:val="single" w:sz="2" w:space="0" w:color="AAB7C4"/>
              <w:right w:val="single" w:sz="2" w:space="0" w:color="AAB7C4"/>
            </w:tcBorders>
            <w:shd w:val="clear" w:color="auto" w:fill="17365D"/>
          </w:tcPr>
          <w:p w14:paraId="5E193035" w14:textId="77777777" w:rsidR="0021274A" w:rsidRDefault="00000000">
            <w:pPr>
              <w:spacing w:after="0" w:line="259" w:lineRule="auto"/>
              <w:ind w:left="0" w:firstLine="0"/>
              <w:jc w:val="left"/>
            </w:pPr>
            <w:r>
              <w:rPr>
                <w:rFonts w:ascii="Arial" w:eastAsia="Arial" w:hAnsi="Arial" w:cs="Arial"/>
                <w:b/>
                <w:color w:val="FFFFFF"/>
                <w:sz w:val="12"/>
              </w:rPr>
              <w:t>Approval</w:t>
            </w:r>
          </w:p>
        </w:tc>
      </w:tr>
      <w:tr w:rsidR="0021274A" w14:paraId="1C8E4B37"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568E847F" w14:textId="77777777" w:rsidR="0021274A" w:rsidRDefault="00000000">
            <w:pPr>
              <w:spacing w:after="0" w:line="259" w:lineRule="auto"/>
              <w:ind w:left="0" w:firstLine="0"/>
              <w:jc w:val="left"/>
            </w:pPr>
            <w:r>
              <w:rPr>
                <w:rFonts w:ascii="Arial" w:eastAsia="Arial" w:hAnsi="Arial" w:cs="Arial"/>
                <w:sz w:val="12"/>
              </w:rPr>
              <w:t>Expedite/reroute</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347DD800" w14:textId="77777777" w:rsidR="0021274A" w:rsidRDefault="00000000">
            <w:pPr>
              <w:spacing w:after="0" w:line="259" w:lineRule="auto"/>
              <w:ind w:left="0" w:firstLine="0"/>
              <w:jc w:val="left"/>
            </w:pPr>
            <w:r>
              <w:rPr>
                <w:rFonts w:ascii="Arial" w:eastAsia="Arial" w:hAnsi="Arial" w:cs="Arial"/>
                <w:sz w:val="12"/>
              </w:rPr>
              <w:t>lane, carrier, customs, cost</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5AD44600" w14:textId="77777777" w:rsidR="0021274A" w:rsidRDefault="00000000">
            <w:pPr>
              <w:spacing w:after="0" w:line="259" w:lineRule="auto"/>
              <w:ind w:left="0" w:firstLine="0"/>
              <w:jc w:val="left"/>
            </w:pPr>
            <w:r>
              <w:rPr>
                <w:rFonts w:ascii="Arial" w:eastAsia="Arial" w:hAnsi="Arial" w:cs="Arial"/>
                <w:sz w:val="12"/>
              </w:rPr>
              <w:t>Logistics owner</w:t>
            </w:r>
          </w:p>
        </w:tc>
      </w:tr>
      <w:tr w:rsidR="0021274A" w14:paraId="680A51E7"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EAF2F8"/>
          </w:tcPr>
          <w:p w14:paraId="19E82EF6" w14:textId="0B0AB257" w:rsidR="0021274A" w:rsidRDefault="00000000">
            <w:pPr>
              <w:spacing w:after="0" w:line="259" w:lineRule="auto"/>
              <w:ind w:left="0" w:firstLine="0"/>
              <w:jc w:val="left"/>
            </w:pPr>
            <w:r>
              <w:rPr>
                <w:rFonts w:ascii="Arial" w:eastAsia="Arial" w:hAnsi="Arial" w:cs="Arial"/>
                <w:sz w:val="12"/>
              </w:rPr>
              <w:t xml:space="preserve">Reallocate </w:t>
            </w:r>
            <w:r w:rsidR="004E0D4F">
              <w:rPr>
                <w:rFonts w:ascii="Arial" w:eastAsia="Arial" w:hAnsi="Arial" w:cs="Arial"/>
                <w:sz w:val="12"/>
              </w:rPr>
              <w:t>inventory</w:t>
            </w:r>
          </w:p>
        </w:tc>
        <w:tc>
          <w:tcPr>
            <w:tcW w:w="1928" w:type="dxa"/>
            <w:tcBorders>
              <w:top w:val="single" w:sz="2" w:space="0" w:color="AAB7C4"/>
              <w:left w:val="single" w:sz="2" w:space="0" w:color="AAB7C4"/>
              <w:bottom w:val="single" w:sz="2" w:space="0" w:color="AAB7C4"/>
              <w:right w:val="single" w:sz="2" w:space="0" w:color="AAB7C4"/>
            </w:tcBorders>
            <w:shd w:val="clear" w:color="auto" w:fill="EAF2F8"/>
          </w:tcPr>
          <w:p w14:paraId="7B5E4CC2" w14:textId="77777777" w:rsidR="0021274A" w:rsidRDefault="00000000">
            <w:pPr>
              <w:spacing w:after="0" w:line="259" w:lineRule="auto"/>
              <w:ind w:left="0" w:firstLine="0"/>
              <w:jc w:val="left"/>
            </w:pPr>
            <w:r>
              <w:rPr>
                <w:rFonts w:ascii="Arial" w:eastAsia="Arial" w:hAnsi="Arial" w:cs="Arial"/>
                <w:sz w:val="12"/>
              </w:rPr>
              <w:t>priority, contract, service</w:t>
            </w:r>
          </w:p>
        </w:tc>
        <w:tc>
          <w:tcPr>
            <w:tcW w:w="1525" w:type="dxa"/>
            <w:tcBorders>
              <w:top w:val="single" w:sz="2" w:space="0" w:color="AAB7C4"/>
              <w:left w:val="single" w:sz="2" w:space="0" w:color="AAB7C4"/>
              <w:bottom w:val="single" w:sz="2" w:space="0" w:color="AAB7C4"/>
              <w:right w:val="single" w:sz="2" w:space="0" w:color="AAB7C4"/>
            </w:tcBorders>
            <w:shd w:val="clear" w:color="auto" w:fill="EAF2F8"/>
          </w:tcPr>
          <w:p w14:paraId="6BB3B3EC" w14:textId="77777777" w:rsidR="0021274A" w:rsidRDefault="00000000">
            <w:pPr>
              <w:spacing w:after="0" w:line="259" w:lineRule="auto"/>
              <w:ind w:left="0" w:firstLine="0"/>
              <w:jc w:val="left"/>
            </w:pPr>
            <w:r>
              <w:rPr>
                <w:rFonts w:ascii="Arial" w:eastAsia="Arial" w:hAnsi="Arial" w:cs="Arial"/>
                <w:sz w:val="12"/>
              </w:rPr>
              <w:t>Operations</w:t>
            </w:r>
          </w:p>
        </w:tc>
      </w:tr>
      <w:tr w:rsidR="0021274A" w14:paraId="4523E71D"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6EF4FDC8" w14:textId="77777777" w:rsidR="0021274A" w:rsidRDefault="00000000">
            <w:pPr>
              <w:spacing w:after="0" w:line="259" w:lineRule="auto"/>
              <w:ind w:left="0" w:firstLine="0"/>
              <w:jc w:val="left"/>
            </w:pPr>
            <w:r>
              <w:rPr>
                <w:rFonts w:ascii="Arial" w:eastAsia="Arial" w:hAnsi="Arial" w:cs="Arial"/>
                <w:sz w:val="12"/>
              </w:rPr>
              <w:t>Switch supplier</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47B8CCF4" w14:textId="77777777" w:rsidR="0021274A" w:rsidRDefault="00000000">
            <w:pPr>
              <w:spacing w:after="0" w:line="259" w:lineRule="auto"/>
              <w:ind w:left="0" w:firstLine="0"/>
              <w:jc w:val="left"/>
            </w:pPr>
            <w:r>
              <w:rPr>
                <w:rFonts w:ascii="Arial" w:eastAsia="Arial" w:hAnsi="Arial" w:cs="Arial"/>
                <w:sz w:val="12"/>
              </w:rPr>
              <w:t>quality, capacity, legal, IP</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179B8AAE" w14:textId="77777777" w:rsidR="0021274A" w:rsidRDefault="00000000">
            <w:pPr>
              <w:spacing w:after="0" w:line="259" w:lineRule="auto"/>
              <w:ind w:left="0" w:firstLine="0"/>
              <w:jc w:val="left"/>
            </w:pPr>
            <w:r>
              <w:rPr>
                <w:rFonts w:ascii="Arial" w:eastAsia="Arial" w:hAnsi="Arial" w:cs="Arial"/>
                <w:sz w:val="12"/>
              </w:rPr>
              <w:t>Cross-functional</w:t>
            </w:r>
          </w:p>
        </w:tc>
      </w:tr>
      <w:tr w:rsidR="0021274A" w14:paraId="68126BA2"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EAF2F8"/>
          </w:tcPr>
          <w:p w14:paraId="0D661C54" w14:textId="77777777" w:rsidR="0021274A" w:rsidRDefault="00000000">
            <w:pPr>
              <w:spacing w:after="0" w:line="259" w:lineRule="auto"/>
              <w:ind w:left="0" w:firstLine="0"/>
              <w:jc w:val="left"/>
            </w:pPr>
            <w:r>
              <w:rPr>
                <w:rFonts w:ascii="Arial" w:eastAsia="Arial" w:hAnsi="Arial" w:cs="Arial"/>
                <w:sz w:val="12"/>
              </w:rPr>
              <w:t>Reschedule</w:t>
            </w:r>
          </w:p>
        </w:tc>
        <w:tc>
          <w:tcPr>
            <w:tcW w:w="1928" w:type="dxa"/>
            <w:tcBorders>
              <w:top w:val="single" w:sz="2" w:space="0" w:color="AAB7C4"/>
              <w:left w:val="single" w:sz="2" w:space="0" w:color="AAB7C4"/>
              <w:bottom w:val="single" w:sz="2" w:space="0" w:color="AAB7C4"/>
              <w:right w:val="single" w:sz="2" w:space="0" w:color="AAB7C4"/>
            </w:tcBorders>
            <w:shd w:val="clear" w:color="auto" w:fill="EAF2F8"/>
          </w:tcPr>
          <w:p w14:paraId="21597F5C" w14:textId="77777777" w:rsidR="0021274A" w:rsidRDefault="00000000">
            <w:pPr>
              <w:spacing w:after="0" w:line="259" w:lineRule="auto"/>
              <w:ind w:left="0" w:firstLine="0"/>
              <w:jc w:val="left"/>
            </w:pPr>
            <w:r>
              <w:rPr>
                <w:rFonts w:ascii="Arial" w:eastAsia="Arial" w:hAnsi="Arial" w:cs="Arial"/>
                <w:sz w:val="12"/>
              </w:rPr>
              <w:t>line, tooling, labor, due dates</w:t>
            </w:r>
          </w:p>
        </w:tc>
        <w:tc>
          <w:tcPr>
            <w:tcW w:w="1525" w:type="dxa"/>
            <w:tcBorders>
              <w:top w:val="single" w:sz="2" w:space="0" w:color="AAB7C4"/>
              <w:left w:val="single" w:sz="2" w:space="0" w:color="AAB7C4"/>
              <w:bottom w:val="single" w:sz="2" w:space="0" w:color="AAB7C4"/>
              <w:right w:val="single" w:sz="2" w:space="0" w:color="AAB7C4"/>
            </w:tcBorders>
            <w:shd w:val="clear" w:color="auto" w:fill="EAF2F8"/>
          </w:tcPr>
          <w:p w14:paraId="0177B2C9" w14:textId="77777777" w:rsidR="0021274A" w:rsidRDefault="00000000">
            <w:pPr>
              <w:spacing w:after="0" w:line="259" w:lineRule="auto"/>
              <w:ind w:left="0" w:firstLine="0"/>
              <w:jc w:val="left"/>
            </w:pPr>
            <w:r>
              <w:rPr>
                <w:rFonts w:ascii="Arial" w:eastAsia="Arial" w:hAnsi="Arial" w:cs="Arial"/>
                <w:sz w:val="12"/>
              </w:rPr>
              <w:t>Plant planner</w:t>
            </w:r>
          </w:p>
        </w:tc>
      </w:tr>
      <w:tr w:rsidR="0021274A" w14:paraId="539B0AA1" w14:textId="77777777">
        <w:trPr>
          <w:trHeight w:val="244"/>
        </w:trPr>
        <w:tc>
          <w:tcPr>
            <w:tcW w:w="1304" w:type="dxa"/>
            <w:tcBorders>
              <w:top w:val="single" w:sz="2" w:space="0" w:color="AAB7C4"/>
              <w:left w:val="single" w:sz="2" w:space="0" w:color="AAB7C4"/>
              <w:bottom w:val="single" w:sz="2" w:space="0" w:color="AAB7C4"/>
              <w:right w:val="single" w:sz="2" w:space="0" w:color="AAB7C4"/>
            </w:tcBorders>
            <w:shd w:val="clear" w:color="auto" w:fill="FFFFFF"/>
          </w:tcPr>
          <w:p w14:paraId="25B822E9" w14:textId="77777777" w:rsidR="0021274A" w:rsidRDefault="00000000">
            <w:pPr>
              <w:spacing w:after="0" w:line="259" w:lineRule="auto"/>
              <w:ind w:left="0" w:firstLine="0"/>
              <w:jc w:val="left"/>
            </w:pPr>
            <w:r>
              <w:rPr>
                <w:rFonts w:ascii="Arial" w:eastAsia="Arial" w:hAnsi="Arial" w:cs="Arial"/>
                <w:sz w:val="12"/>
              </w:rPr>
              <w:t>Customer notice</w:t>
            </w:r>
          </w:p>
        </w:tc>
        <w:tc>
          <w:tcPr>
            <w:tcW w:w="1928" w:type="dxa"/>
            <w:tcBorders>
              <w:top w:val="single" w:sz="2" w:space="0" w:color="AAB7C4"/>
              <w:left w:val="single" w:sz="2" w:space="0" w:color="AAB7C4"/>
              <w:bottom w:val="single" w:sz="2" w:space="0" w:color="AAB7C4"/>
              <w:right w:val="single" w:sz="2" w:space="0" w:color="AAB7C4"/>
            </w:tcBorders>
            <w:shd w:val="clear" w:color="auto" w:fill="FFFFFF"/>
          </w:tcPr>
          <w:p w14:paraId="242009A8" w14:textId="77777777" w:rsidR="0021274A" w:rsidRDefault="00000000">
            <w:pPr>
              <w:spacing w:after="0" w:line="259" w:lineRule="auto"/>
              <w:ind w:left="0" w:firstLine="0"/>
              <w:jc w:val="left"/>
            </w:pPr>
            <w:r>
              <w:rPr>
                <w:rFonts w:ascii="Arial" w:eastAsia="Arial" w:hAnsi="Arial" w:cs="Arial"/>
                <w:sz w:val="12"/>
              </w:rPr>
              <w:t>facts, disclosure, commitment</w:t>
            </w:r>
          </w:p>
        </w:tc>
        <w:tc>
          <w:tcPr>
            <w:tcW w:w="1525" w:type="dxa"/>
            <w:tcBorders>
              <w:top w:val="single" w:sz="2" w:space="0" w:color="AAB7C4"/>
              <w:left w:val="single" w:sz="2" w:space="0" w:color="AAB7C4"/>
              <w:bottom w:val="single" w:sz="2" w:space="0" w:color="AAB7C4"/>
              <w:right w:val="single" w:sz="2" w:space="0" w:color="AAB7C4"/>
            </w:tcBorders>
            <w:shd w:val="clear" w:color="auto" w:fill="FFFFFF"/>
          </w:tcPr>
          <w:p w14:paraId="7C1F30AB" w14:textId="77777777" w:rsidR="0021274A" w:rsidRDefault="00000000">
            <w:pPr>
              <w:spacing w:after="0" w:line="259" w:lineRule="auto"/>
              <w:ind w:left="0" w:firstLine="0"/>
              <w:jc w:val="left"/>
            </w:pPr>
            <w:r>
              <w:rPr>
                <w:rFonts w:ascii="Arial" w:eastAsia="Arial" w:hAnsi="Arial" w:cs="Arial"/>
                <w:sz w:val="12"/>
              </w:rPr>
              <w:t>Account owner</w:t>
            </w:r>
          </w:p>
        </w:tc>
      </w:tr>
    </w:tbl>
    <w:p w14:paraId="7DF39BB9" w14:textId="77777777" w:rsidR="0021274A" w:rsidRDefault="00000000">
      <w:pPr>
        <w:spacing w:line="251" w:lineRule="auto"/>
        <w:jc w:val="center"/>
      </w:pPr>
      <w:r>
        <w:rPr>
          <w:color w:val="4B5563"/>
          <w:sz w:val="14"/>
        </w:rPr>
        <w:t>TABLE VI. ACTION CONTROLS</w:t>
      </w:r>
    </w:p>
    <w:p w14:paraId="05AA153A" w14:textId="77777777" w:rsidR="0021274A" w:rsidRDefault="00000000">
      <w:pPr>
        <w:pStyle w:val="Heading2"/>
        <w:ind w:left="-5"/>
      </w:pPr>
      <w:r>
        <w:rPr>
          <w:b/>
        </w:rPr>
        <w:t>E.</w:t>
      </w:r>
      <w:r>
        <w:t xml:space="preserve"> Business Value</w:t>
      </w:r>
    </w:p>
    <w:p w14:paraId="68FCFFD9" w14:textId="5CCAB05A" w:rsidR="0021274A" w:rsidRDefault="00000000">
      <w:pPr>
        <w:spacing w:after="124" w:line="253" w:lineRule="auto"/>
        <w:ind w:left="0" w:firstLine="0"/>
        <w:jc w:val="left"/>
      </w:pPr>
      <w:r>
        <w:t>The value hypothesis has four components: reduced time-to-awareness; reduced time-to-impact assessment; lower expected disruption cost through earlier optionality; and more consistent, auditable communication. Benefits should be measured against a baseline workflow rather than inferred from model novelty.</w:t>
      </w:r>
    </w:p>
    <w:p w14:paraId="4CF0275C" w14:textId="77777777" w:rsidR="0021274A" w:rsidRDefault="00000000">
      <w:pPr>
        <w:ind w:left="-5"/>
      </w:pPr>
      <w:r>
        <w:t>For an SME, a useful deployment can begin with one product family, a limited supplier set, inventory and purchase-order extracts, and a small number of trusted external sources. This minimizes integration cost and gives the team a measurable pilot. Semiconductor deployments can then extend to multi-tier material, utility, equipment, foundry, assembly/test, and route dependencies.</w:t>
      </w:r>
    </w:p>
    <w:p w14:paraId="3422D41B" w14:textId="77777777" w:rsidR="0021274A" w:rsidRDefault="00000000">
      <w:pPr>
        <w:pStyle w:val="Heading2"/>
        <w:ind w:left="-5"/>
      </w:pPr>
      <w:r>
        <w:rPr>
          <w:b/>
        </w:rPr>
        <w:t>F.</w:t>
      </w:r>
      <w:r>
        <w:t xml:space="preserve"> Alert Content</w:t>
      </w:r>
    </w:p>
    <w:p w14:paraId="372FE7ED" w14:textId="77777777" w:rsidR="0021274A" w:rsidRDefault="00000000">
      <w:pPr>
        <w:ind w:left="-5"/>
      </w:pPr>
      <w:r>
        <w:t xml:space="preserve">A complete alert states: </w:t>
      </w:r>
      <w:r>
        <w:rPr>
          <w:b/>
        </w:rPr>
        <w:t>signal</w:t>
      </w:r>
      <w:r>
        <w:t xml:space="preserve"> (what changed); </w:t>
      </w:r>
      <w:r>
        <w:rPr>
          <w:b/>
        </w:rPr>
        <w:t>exposure</w:t>
      </w:r>
      <w:r>
        <w:t xml:space="preserve"> (the graph path); </w:t>
      </w:r>
      <w:r>
        <w:rPr>
          <w:b/>
        </w:rPr>
        <w:t>impact</w:t>
      </w:r>
      <w:r>
        <w:t xml:space="preserve"> (orders, dates, cost, uncertainty); </w:t>
      </w:r>
      <w:r>
        <w:rPr>
          <w:b/>
        </w:rPr>
        <w:t>options</w:t>
      </w:r>
      <w:r>
        <w:t xml:space="preserve"> (ranked and constrained); </w:t>
      </w:r>
      <w:r>
        <w:rPr>
          <w:b/>
        </w:rPr>
        <w:t>decision</w:t>
      </w:r>
      <w:r>
        <w:t xml:space="preserve"> (owner and deadline); and </w:t>
      </w:r>
      <w:r>
        <w:rPr>
          <w:b/>
        </w:rPr>
        <w:t>evidence</w:t>
      </w:r>
      <w:r>
        <w:t xml:space="preserve"> (sources and retrieved passages). The same structured object powers the dashboard, internal notification, and email draft, preventing channel-to-channel inconsistency.</w:t>
      </w:r>
    </w:p>
    <w:p w14:paraId="43E139F3" w14:textId="77777777" w:rsidR="0021274A" w:rsidRDefault="00000000">
      <w:pPr>
        <w:ind w:left="-5"/>
      </w:pPr>
      <w:r>
        <w:t>Where sources disagree, the alert shows the conflict and requests confirmation. Where internal data are stale, it displays the last refresh time. Where no feasible mitigation exists, it recommends escalation rather than fabricating an alternative.</w:t>
      </w:r>
    </w:p>
    <w:p w14:paraId="257081A3" w14:textId="77777777" w:rsidR="00541931" w:rsidRDefault="00541931">
      <w:pPr>
        <w:ind w:left="-5"/>
      </w:pPr>
    </w:p>
    <w:p w14:paraId="32882C57" w14:textId="77777777" w:rsidR="00541931" w:rsidRDefault="00541931">
      <w:pPr>
        <w:ind w:left="-5"/>
      </w:pPr>
    </w:p>
    <w:p w14:paraId="32790ABA" w14:textId="77777777" w:rsidR="0021274A" w:rsidRDefault="00000000">
      <w:pPr>
        <w:pStyle w:val="Heading1"/>
      </w:pPr>
      <w:r>
        <w:rPr>
          <w:b/>
        </w:rPr>
        <w:t>V.</w:t>
      </w:r>
      <w:r>
        <w:t xml:space="preserve"> CASE STUDY AND EVALUATION</w:t>
      </w:r>
    </w:p>
    <w:p w14:paraId="689D472D" w14:textId="62D47316" w:rsidR="0021274A" w:rsidRDefault="0085246E" w:rsidP="0085246E">
      <w:pPr>
        <w:pStyle w:val="Heading2"/>
      </w:pPr>
      <w:r>
        <w:t>A</w:t>
      </w:r>
      <w:r>
        <w:rPr>
          <w:b/>
        </w:rPr>
        <w:t>.</w:t>
      </w:r>
      <w:r>
        <w:t xml:space="preserve"> Evidence-Based Trigger</w:t>
      </w:r>
    </w:p>
    <w:p w14:paraId="74C07FBB" w14:textId="0B5001AA" w:rsidR="0021274A" w:rsidRDefault="00000000">
      <w:pPr>
        <w:ind w:left="-5"/>
      </w:pPr>
      <w:r>
        <w:t>On 3 April 2024, a magnitude 7.4 earthquake occurred near Hualien City, Taiwan, followed by strong aftershocks [11]. TSMC later reported that earthquakes in April 2024 caused damage to inventories, facilities, machinery, and equipment and that the company recognized approximately NT$3 billion in losses, net of insurance claims, in the second quarter of 2024 [12]. These facts establish a real disruption context, but they do not establish the hypothetical buyer impacts below.</w:t>
      </w:r>
    </w:p>
    <w:p w14:paraId="17F128D7" w14:textId="77777777" w:rsidR="0021274A" w:rsidRDefault="00000000">
      <w:pPr>
        <w:pStyle w:val="Heading2"/>
        <w:ind w:left="-5"/>
      </w:pPr>
      <w:r>
        <w:rPr>
          <w:b/>
        </w:rPr>
        <w:t>B.</w:t>
      </w:r>
      <w:r>
        <w:t xml:space="preserve"> Illustrative Enterprise Scenario</w:t>
      </w:r>
    </w:p>
    <w:p w14:paraId="3645B357" w14:textId="2D19C359" w:rsidR="00D71D02" w:rsidRDefault="00000000" w:rsidP="00541931">
      <w:pPr>
        <w:spacing w:after="5"/>
        <w:ind w:left="-5"/>
      </w:pPr>
      <w:r>
        <w:t xml:space="preserve">Assume a fictional electronics SME, </w:t>
      </w:r>
      <w:r>
        <w:rPr>
          <w:i/>
        </w:rPr>
        <w:t>Orion Controls</w:t>
      </w:r>
      <w:r>
        <w:t xml:space="preserve">, buys a controller </w:t>
      </w:r>
      <w:r w:rsidR="0085246E">
        <w:t>chip</w:t>
      </w:r>
      <w:r>
        <w:t xml:space="preserve"> through Supplier A</w:t>
      </w:r>
      <w:r w:rsidR="00D71D02">
        <w:t xml:space="preserve"> located in Taiwan</w:t>
      </w:r>
      <w:r>
        <w:t>. The enterprise twin states that Supplier A represents 42% of qualified wafer volume; usable inventory is 12 days; protected demand is 8,000 units/day; Supplier B is approved for 25% incremental volume after a five-day changeover; and premium logistics plus changeover would cost USD 180,000. These values are design-test inputs, not claims about any real company.</w:t>
      </w:r>
    </w:p>
    <w:p w14:paraId="69968EE7" w14:textId="77777777" w:rsidR="00D71D02" w:rsidRDefault="00D71D02">
      <w:pPr>
        <w:spacing w:after="5"/>
        <w:ind w:left="-5"/>
      </w:pPr>
    </w:p>
    <w:tbl>
      <w:tblPr>
        <w:tblStyle w:val="TableGrid"/>
        <w:tblW w:w="4757" w:type="dxa"/>
        <w:tblInd w:w="0" w:type="dxa"/>
        <w:tblCellMar>
          <w:top w:w="88" w:type="dxa"/>
          <w:left w:w="60" w:type="dxa"/>
          <w:right w:w="115" w:type="dxa"/>
        </w:tblCellMar>
        <w:tblLook w:val="04A0" w:firstRow="1" w:lastRow="0" w:firstColumn="1" w:lastColumn="0" w:noHBand="0" w:noVBand="1"/>
      </w:tblPr>
      <w:tblGrid>
        <w:gridCol w:w="1417"/>
        <w:gridCol w:w="3340"/>
      </w:tblGrid>
      <w:tr w:rsidR="0021274A" w14:paraId="1A6CEC00"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17365D"/>
          </w:tcPr>
          <w:p w14:paraId="5492E8A9" w14:textId="77777777" w:rsidR="0021274A" w:rsidRDefault="00000000">
            <w:pPr>
              <w:spacing w:after="0" w:line="259" w:lineRule="auto"/>
              <w:ind w:left="0" w:firstLine="0"/>
              <w:jc w:val="left"/>
            </w:pPr>
            <w:r>
              <w:rPr>
                <w:rFonts w:ascii="Arial" w:eastAsia="Arial" w:hAnsi="Arial" w:cs="Arial"/>
                <w:b/>
                <w:color w:val="FFFFFF"/>
                <w:sz w:val="12"/>
              </w:rPr>
              <w:lastRenderedPageBreak/>
              <w:t>Stage</w:t>
            </w:r>
          </w:p>
        </w:tc>
        <w:tc>
          <w:tcPr>
            <w:tcW w:w="3339" w:type="dxa"/>
            <w:tcBorders>
              <w:top w:val="single" w:sz="2" w:space="0" w:color="AAB7C4"/>
              <w:left w:val="single" w:sz="2" w:space="0" w:color="AAB7C4"/>
              <w:bottom w:val="single" w:sz="2" w:space="0" w:color="AAB7C4"/>
              <w:right w:val="single" w:sz="2" w:space="0" w:color="AAB7C4"/>
            </w:tcBorders>
            <w:shd w:val="clear" w:color="auto" w:fill="17365D"/>
          </w:tcPr>
          <w:p w14:paraId="22F48A5E" w14:textId="77777777" w:rsidR="0021274A" w:rsidRDefault="00000000">
            <w:pPr>
              <w:spacing w:after="0" w:line="259" w:lineRule="auto"/>
              <w:ind w:left="0" w:firstLine="0"/>
              <w:jc w:val="left"/>
            </w:pPr>
            <w:r>
              <w:rPr>
                <w:rFonts w:ascii="Arial" w:eastAsia="Arial" w:hAnsi="Arial" w:cs="Arial"/>
                <w:b/>
                <w:color w:val="FFFFFF"/>
                <w:sz w:val="12"/>
              </w:rPr>
              <w:t>Illustrative output</w:t>
            </w:r>
          </w:p>
        </w:tc>
      </w:tr>
      <w:tr w:rsidR="0021274A" w14:paraId="37C066BD"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5FA68A26" w14:textId="77777777" w:rsidR="0021274A" w:rsidRDefault="00000000">
            <w:pPr>
              <w:spacing w:after="0" w:line="259" w:lineRule="auto"/>
              <w:ind w:left="0" w:firstLine="0"/>
              <w:jc w:val="left"/>
            </w:pPr>
            <w:r>
              <w:rPr>
                <w:rFonts w:ascii="Arial" w:eastAsia="Arial" w:hAnsi="Arial" w:cs="Arial"/>
                <w:sz w:val="12"/>
              </w:rPr>
              <w:t>Verify</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130EBEF5" w14:textId="77777777" w:rsidR="0021274A" w:rsidRDefault="00000000">
            <w:pPr>
              <w:spacing w:after="0" w:line="259" w:lineRule="auto"/>
              <w:ind w:left="0" w:firstLine="0"/>
              <w:jc w:val="left"/>
            </w:pPr>
            <w:r>
              <w:rPr>
                <w:rFonts w:ascii="Arial" w:eastAsia="Arial" w:hAnsi="Arial" w:cs="Arial"/>
                <w:sz w:val="12"/>
              </w:rPr>
              <w:t>M7.4 event; location/time confirmed; confidence 0.94</w:t>
            </w:r>
          </w:p>
        </w:tc>
      </w:tr>
      <w:tr w:rsidR="0021274A" w14:paraId="116FCBB9" w14:textId="77777777">
        <w:trPr>
          <w:trHeight w:val="384"/>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6B32412A" w14:textId="68C750B7" w:rsidR="0021274A" w:rsidRDefault="00D71D02">
            <w:pPr>
              <w:spacing w:after="0" w:line="259" w:lineRule="auto"/>
              <w:ind w:left="0" w:firstLine="0"/>
              <w:jc w:val="left"/>
            </w:pPr>
            <w:r>
              <w:rPr>
                <w:rFonts w:ascii="Arial" w:eastAsia="Arial" w:hAnsi="Arial" w:cs="Arial"/>
                <w:sz w:val="12"/>
              </w:rPr>
              <w:t>Map (Knowledge Graph)</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01FAE6AA" w14:textId="6F5CDD26" w:rsidR="0021274A" w:rsidRDefault="00000000">
            <w:pPr>
              <w:spacing w:after="0" w:line="259" w:lineRule="auto"/>
              <w:ind w:left="0" w:firstLine="0"/>
              <w:jc w:val="left"/>
            </w:pPr>
            <w:r>
              <w:rPr>
                <w:rFonts w:ascii="Arial" w:eastAsia="Arial" w:hAnsi="Arial" w:cs="Arial"/>
                <w:sz w:val="12"/>
              </w:rPr>
              <w:t xml:space="preserve">Event -&gt; Taiwan site -&gt; Supplier A -&gt; </w:t>
            </w:r>
            <w:r w:rsidR="00D71D02">
              <w:rPr>
                <w:rFonts w:ascii="Arial" w:eastAsia="Arial" w:hAnsi="Arial" w:cs="Arial"/>
                <w:sz w:val="12"/>
              </w:rPr>
              <w:t>chips</w:t>
            </w:r>
            <w:r>
              <w:rPr>
                <w:rFonts w:ascii="Arial" w:eastAsia="Arial" w:hAnsi="Arial" w:cs="Arial"/>
                <w:sz w:val="12"/>
              </w:rPr>
              <w:t xml:space="preserve"> -&gt; 3 SKUs -&gt; 7 orders</w:t>
            </w:r>
          </w:p>
        </w:tc>
      </w:tr>
      <w:tr w:rsidR="0021274A" w14:paraId="731E28AD"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08E72206" w14:textId="77777777" w:rsidR="0021274A" w:rsidRDefault="00000000">
            <w:pPr>
              <w:spacing w:after="0" w:line="259" w:lineRule="auto"/>
              <w:ind w:left="0" w:firstLine="0"/>
              <w:jc w:val="left"/>
            </w:pPr>
            <w:r>
              <w:rPr>
                <w:rFonts w:ascii="Arial" w:eastAsia="Arial" w:hAnsi="Arial" w:cs="Arial"/>
                <w:sz w:val="12"/>
              </w:rPr>
              <w:t>Simulate</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2610F1EF" w14:textId="77777777" w:rsidR="0021274A" w:rsidRDefault="00000000">
            <w:pPr>
              <w:spacing w:after="0" w:line="259" w:lineRule="auto"/>
              <w:ind w:left="0" w:firstLine="0"/>
              <w:jc w:val="left"/>
            </w:pPr>
            <w:r>
              <w:rPr>
                <w:rFonts w:ascii="Arial" w:eastAsia="Arial" w:hAnsi="Arial" w:cs="Arial"/>
                <w:sz w:val="12"/>
              </w:rPr>
              <w:t>Baseline shortage day 13; 3-week recovery range</w:t>
            </w:r>
          </w:p>
        </w:tc>
      </w:tr>
      <w:tr w:rsidR="0021274A" w14:paraId="76C6391B"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670B604B" w14:textId="77777777" w:rsidR="0021274A" w:rsidRDefault="00000000">
            <w:pPr>
              <w:spacing w:after="0" w:line="259" w:lineRule="auto"/>
              <w:ind w:left="0" w:firstLine="0"/>
              <w:jc w:val="left"/>
            </w:pPr>
            <w:r>
              <w:rPr>
                <w:rFonts w:ascii="Arial" w:eastAsia="Arial" w:hAnsi="Arial" w:cs="Arial"/>
                <w:sz w:val="12"/>
              </w:rPr>
              <w:t>Estimate</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3A7A095E" w14:textId="77777777" w:rsidR="0021274A" w:rsidRDefault="00000000">
            <w:pPr>
              <w:spacing w:after="0" w:line="259" w:lineRule="auto"/>
              <w:ind w:left="0" w:firstLine="0"/>
              <w:jc w:val="left"/>
            </w:pPr>
            <w:r>
              <w:rPr>
                <w:rFonts w:ascii="Arial" w:eastAsia="Arial" w:hAnsi="Arial" w:cs="Arial"/>
                <w:sz w:val="12"/>
              </w:rPr>
              <w:t>71% scenario frequency of line stoppage within 21 days</w:t>
            </w:r>
          </w:p>
        </w:tc>
      </w:tr>
      <w:tr w:rsidR="0021274A" w14:paraId="3F610791"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FFFFFF"/>
          </w:tcPr>
          <w:p w14:paraId="2D89B878" w14:textId="77777777" w:rsidR="0021274A" w:rsidRDefault="00000000">
            <w:pPr>
              <w:spacing w:after="0" w:line="259" w:lineRule="auto"/>
              <w:ind w:left="0" w:firstLine="0"/>
              <w:jc w:val="left"/>
            </w:pPr>
            <w:r>
              <w:rPr>
                <w:rFonts w:ascii="Arial" w:eastAsia="Arial" w:hAnsi="Arial" w:cs="Arial"/>
                <w:sz w:val="12"/>
              </w:rPr>
              <w:t>Plan</w:t>
            </w:r>
          </w:p>
        </w:tc>
        <w:tc>
          <w:tcPr>
            <w:tcW w:w="3339" w:type="dxa"/>
            <w:tcBorders>
              <w:top w:val="single" w:sz="2" w:space="0" w:color="AAB7C4"/>
              <w:left w:val="single" w:sz="2" w:space="0" w:color="AAB7C4"/>
              <w:bottom w:val="single" w:sz="2" w:space="0" w:color="AAB7C4"/>
              <w:right w:val="single" w:sz="2" w:space="0" w:color="AAB7C4"/>
            </w:tcBorders>
            <w:shd w:val="clear" w:color="auto" w:fill="FFFFFF"/>
          </w:tcPr>
          <w:p w14:paraId="1776B095" w14:textId="77777777" w:rsidR="0021274A" w:rsidRDefault="00000000">
            <w:pPr>
              <w:spacing w:after="0" w:line="259" w:lineRule="auto"/>
              <w:ind w:left="0" w:firstLine="0"/>
              <w:jc w:val="left"/>
            </w:pPr>
            <w:r>
              <w:rPr>
                <w:rFonts w:ascii="Arial" w:eastAsia="Arial" w:hAnsi="Arial" w:cs="Arial"/>
                <w:sz w:val="12"/>
              </w:rPr>
              <w:t>Shift 25% to Supplier B; expedite 6 days; reallocate stock</w:t>
            </w:r>
          </w:p>
        </w:tc>
      </w:tr>
      <w:tr w:rsidR="0021274A" w14:paraId="6BC2E4D0" w14:textId="77777777">
        <w:trPr>
          <w:trHeight w:val="246"/>
        </w:trPr>
        <w:tc>
          <w:tcPr>
            <w:tcW w:w="1417" w:type="dxa"/>
            <w:tcBorders>
              <w:top w:val="single" w:sz="2" w:space="0" w:color="AAB7C4"/>
              <w:left w:val="single" w:sz="2" w:space="0" w:color="AAB7C4"/>
              <w:bottom w:val="single" w:sz="2" w:space="0" w:color="AAB7C4"/>
              <w:right w:val="single" w:sz="2" w:space="0" w:color="AAB7C4"/>
            </w:tcBorders>
            <w:shd w:val="clear" w:color="auto" w:fill="EAF2F8"/>
          </w:tcPr>
          <w:p w14:paraId="086C0B70" w14:textId="77777777" w:rsidR="0021274A" w:rsidRDefault="00000000">
            <w:pPr>
              <w:spacing w:after="0" w:line="259" w:lineRule="auto"/>
              <w:ind w:left="0" w:firstLine="0"/>
              <w:jc w:val="left"/>
            </w:pPr>
            <w:r>
              <w:rPr>
                <w:rFonts w:ascii="Arial" w:eastAsia="Arial" w:hAnsi="Arial" w:cs="Arial"/>
                <w:sz w:val="12"/>
              </w:rPr>
              <w:t>Cost</w:t>
            </w:r>
          </w:p>
        </w:tc>
        <w:tc>
          <w:tcPr>
            <w:tcW w:w="3339" w:type="dxa"/>
            <w:tcBorders>
              <w:top w:val="single" w:sz="2" w:space="0" w:color="AAB7C4"/>
              <w:left w:val="single" w:sz="2" w:space="0" w:color="AAB7C4"/>
              <w:bottom w:val="single" w:sz="2" w:space="0" w:color="AAB7C4"/>
              <w:right w:val="single" w:sz="2" w:space="0" w:color="AAB7C4"/>
            </w:tcBorders>
            <w:shd w:val="clear" w:color="auto" w:fill="EAF2F8"/>
          </w:tcPr>
          <w:p w14:paraId="33FF7F49" w14:textId="77777777" w:rsidR="0021274A" w:rsidRDefault="00000000">
            <w:pPr>
              <w:spacing w:after="0" w:line="259" w:lineRule="auto"/>
              <w:ind w:left="0" w:firstLine="0"/>
              <w:jc w:val="left"/>
            </w:pPr>
            <w:r>
              <w:rPr>
                <w:rFonts w:ascii="Arial" w:eastAsia="Arial" w:hAnsi="Arial" w:cs="Arial"/>
                <w:sz w:val="12"/>
              </w:rPr>
              <w:t>USD 180k estimate; range USD 150k-230k</w:t>
            </w:r>
          </w:p>
        </w:tc>
      </w:tr>
    </w:tbl>
    <w:p w14:paraId="2ED102D7" w14:textId="77777777" w:rsidR="0021274A" w:rsidRDefault="00000000">
      <w:pPr>
        <w:spacing w:line="251" w:lineRule="auto"/>
        <w:jc w:val="center"/>
      </w:pPr>
      <w:r>
        <w:rPr>
          <w:color w:val="4B5563"/>
          <w:sz w:val="14"/>
        </w:rPr>
        <w:t>TABLE VII. ILLUSTRATIVE EVENT-TO-ACTION TRACE</w:t>
      </w:r>
    </w:p>
    <w:p w14:paraId="2366AE93" w14:textId="77777777" w:rsidR="0021274A" w:rsidRDefault="00000000">
      <w:pPr>
        <w:ind w:left="-5"/>
      </w:pPr>
      <w:r>
        <w:t>The system would display the evidence supporting the earthquake, the enterprise records supporting the dependency and inventory figures, the simulation version, and the assumptions producing the 71% scenario frequency. A user can compare 'wait,' 'expedite,' 'reallocate,' and 'switch 25%' alternatives before approving supplier outreach.</w:t>
      </w:r>
    </w:p>
    <w:p w14:paraId="35440748" w14:textId="77777777" w:rsidR="0021274A" w:rsidRDefault="00000000">
      <w:pPr>
        <w:pStyle w:val="Heading2"/>
        <w:ind w:left="-5"/>
      </w:pPr>
      <w:r>
        <w:rPr>
          <w:b/>
        </w:rPr>
        <w:t>C.</w:t>
      </w:r>
      <w:r>
        <w:t xml:space="preserve"> Example Communication</w:t>
      </w:r>
    </w:p>
    <w:p w14:paraId="0DD832BF" w14:textId="4B344BBE" w:rsidR="0021274A" w:rsidRDefault="00000000">
      <w:pPr>
        <w:ind w:left="-5"/>
      </w:pPr>
      <w:r>
        <w:t xml:space="preserve">The Communicator drafts a supplier-status request that cites the affected part and asks for facility status, available capacity, recovery </w:t>
      </w:r>
      <w:r w:rsidR="00541931">
        <w:t>process</w:t>
      </w:r>
      <w:r>
        <w:t>, allocation policy, and next update time. It does not state that a three-week delay is confirmed. The procurement owner edits and approves the draft; the system records the sent version and any reply as new evidence.</w:t>
      </w:r>
    </w:p>
    <w:p w14:paraId="3A1F77D8" w14:textId="77777777" w:rsidR="0021274A" w:rsidRDefault="00000000">
      <w:pPr>
        <w:pStyle w:val="Heading2"/>
        <w:ind w:left="-5"/>
      </w:pPr>
      <w:r>
        <w:rPr>
          <w:b/>
        </w:rPr>
        <w:t>D.</w:t>
      </w:r>
      <w:r>
        <w:t xml:space="preserve"> Evaluation Design</w:t>
      </w:r>
    </w:p>
    <w:p w14:paraId="6445649F" w14:textId="77777777" w:rsidR="0021274A" w:rsidRDefault="00000000">
      <w:pPr>
        <w:spacing w:after="5"/>
        <w:ind w:left="-5"/>
      </w:pPr>
      <w:r>
        <w:t>Evaluation uses a replay corpus of dated disruption events and frozen enterprise snapshots. Articles arriving after each decision cutoff are withheld to prevent future information leakage. Two analysts independently label event fields and relevant graph paths; disagreements are adjudicated. Synthetic events supplement rare categories but are reported separately.</w:t>
      </w:r>
    </w:p>
    <w:tbl>
      <w:tblPr>
        <w:tblStyle w:val="TableGrid"/>
        <w:tblW w:w="4757" w:type="dxa"/>
        <w:tblInd w:w="0" w:type="dxa"/>
        <w:tblCellMar>
          <w:top w:w="86" w:type="dxa"/>
          <w:left w:w="60" w:type="dxa"/>
          <w:right w:w="115" w:type="dxa"/>
        </w:tblCellMar>
        <w:tblLook w:val="04A0" w:firstRow="1" w:lastRow="0" w:firstColumn="1" w:lastColumn="0" w:noHBand="0" w:noVBand="1"/>
      </w:tblPr>
      <w:tblGrid>
        <w:gridCol w:w="1135"/>
        <w:gridCol w:w="2154"/>
        <w:gridCol w:w="1468"/>
      </w:tblGrid>
      <w:tr w:rsidR="0021274A" w14:paraId="54A756DF"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17365D"/>
          </w:tcPr>
          <w:p w14:paraId="553208B8" w14:textId="77777777" w:rsidR="0021274A" w:rsidRDefault="00000000">
            <w:pPr>
              <w:spacing w:after="0" w:line="259" w:lineRule="auto"/>
              <w:ind w:left="0" w:firstLine="0"/>
              <w:jc w:val="left"/>
            </w:pPr>
            <w:r>
              <w:rPr>
                <w:rFonts w:ascii="Arial" w:eastAsia="Arial" w:hAnsi="Arial" w:cs="Arial"/>
                <w:b/>
                <w:color w:val="FFFFFF"/>
                <w:sz w:val="12"/>
              </w:rPr>
              <w:t>Dimension</w:t>
            </w:r>
          </w:p>
        </w:tc>
        <w:tc>
          <w:tcPr>
            <w:tcW w:w="2154" w:type="dxa"/>
            <w:tcBorders>
              <w:top w:val="single" w:sz="2" w:space="0" w:color="AAB7C4"/>
              <w:left w:val="single" w:sz="2" w:space="0" w:color="AAB7C4"/>
              <w:bottom w:val="single" w:sz="2" w:space="0" w:color="AAB7C4"/>
              <w:right w:val="single" w:sz="2" w:space="0" w:color="AAB7C4"/>
            </w:tcBorders>
            <w:shd w:val="clear" w:color="auto" w:fill="17365D"/>
          </w:tcPr>
          <w:p w14:paraId="7B855654" w14:textId="77777777" w:rsidR="0021274A" w:rsidRDefault="00000000">
            <w:pPr>
              <w:spacing w:after="0" w:line="259" w:lineRule="auto"/>
              <w:ind w:left="0" w:firstLine="0"/>
              <w:jc w:val="left"/>
            </w:pPr>
            <w:r>
              <w:rPr>
                <w:rFonts w:ascii="Arial" w:eastAsia="Arial" w:hAnsi="Arial" w:cs="Arial"/>
                <w:b/>
                <w:color w:val="FFFFFF"/>
                <w:sz w:val="12"/>
              </w:rPr>
              <w:t>Metric</w:t>
            </w:r>
          </w:p>
        </w:tc>
        <w:tc>
          <w:tcPr>
            <w:tcW w:w="1468" w:type="dxa"/>
            <w:tcBorders>
              <w:top w:val="single" w:sz="2" w:space="0" w:color="AAB7C4"/>
              <w:left w:val="single" w:sz="2" w:space="0" w:color="AAB7C4"/>
              <w:bottom w:val="single" w:sz="2" w:space="0" w:color="AAB7C4"/>
              <w:right w:val="single" w:sz="2" w:space="0" w:color="AAB7C4"/>
            </w:tcBorders>
            <w:shd w:val="clear" w:color="auto" w:fill="17365D"/>
          </w:tcPr>
          <w:p w14:paraId="454DCC67" w14:textId="77777777" w:rsidR="0021274A" w:rsidRDefault="00000000">
            <w:pPr>
              <w:spacing w:after="0" w:line="259" w:lineRule="auto"/>
              <w:ind w:left="0" w:firstLine="0"/>
              <w:jc w:val="left"/>
            </w:pPr>
            <w:r>
              <w:rPr>
                <w:rFonts w:ascii="Arial" w:eastAsia="Arial" w:hAnsi="Arial" w:cs="Arial"/>
                <w:b/>
                <w:color w:val="FFFFFF"/>
                <w:sz w:val="12"/>
              </w:rPr>
              <w:t>Pilot target*</w:t>
            </w:r>
          </w:p>
        </w:tc>
      </w:tr>
      <w:tr w:rsidR="0021274A" w14:paraId="175A00BC"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32BC7F7B" w14:textId="77777777" w:rsidR="0021274A" w:rsidRDefault="00000000">
            <w:pPr>
              <w:spacing w:after="0" w:line="259" w:lineRule="auto"/>
              <w:ind w:left="0" w:firstLine="0"/>
              <w:jc w:val="left"/>
            </w:pPr>
            <w:r>
              <w:rPr>
                <w:rFonts w:ascii="Arial" w:eastAsia="Arial" w:hAnsi="Arial" w:cs="Arial"/>
                <w:sz w:val="12"/>
              </w:rPr>
              <w:t>Detection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04735CB1" w14:textId="77777777" w:rsidR="0021274A" w:rsidRDefault="00000000">
            <w:pPr>
              <w:spacing w:after="0" w:line="259" w:lineRule="auto"/>
              <w:ind w:left="0" w:firstLine="0"/>
              <w:jc w:val="left"/>
            </w:pPr>
            <w:r>
              <w:rPr>
                <w:rFonts w:ascii="Arial" w:eastAsia="Arial" w:hAnsi="Arial" w:cs="Arial"/>
                <w:sz w:val="12"/>
              </w:rPr>
              <w:t>Recall@24h; false alerts/day</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58B79EF5" w14:textId="77777777" w:rsidR="0021274A" w:rsidRDefault="00000000">
            <w:pPr>
              <w:spacing w:after="0" w:line="259" w:lineRule="auto"/>
              <w:ind w:left="0" w:firstLine="0"/>
              <w:jc w:val="left"/>
            </w:pPr>
            <w:r>
              <w:rPr>
                <w:rFonts w:ascii="Arial" w:eastAsia="Arial" w:hAnsi="Arial" w:cs="Arial"/>
                <w:sz w:val="12"/>
              </w:rPr>
              <w:t>&gt;=0.85; &lt;=2</w:t>
            </w:r>
          </w:p>
        </w:tc>
      </w:tr>
      <w:tr w:rsidR="0021274A" w14:paraId="5509A99E"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72DAFD11" w14:textId="77777777" w:rsidR="0021274A" w:rsidRDefault="00000000">
            <w:pPr>
              <w:spacing w:after="0" w:line="259" w:lineRule="auto"/>
              <w:ind w:left="0" w:firstLine="0"/>
              <w:jc w:val="left"/>
            </w:pPr>
            <w:r>
              <w:rPr>
                <w:rFonts w:ascii="Arial" w:eastAsia="Arial" w:hAnsi="Arial" w:cs="Arial"/>
                <w:sz w:val="12"/>
              </w:rPr>
              <w:t>Extraction</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562B6E09" w14:textId="77777777" w:rsidR="0021274A" w:rsidRDefault="00000000">
            <w:pPr>
              <w:spacing w:after="0" w:line="259" w:lineRule="auto"/>
              <w:ind w:left="0" w:firstLine="0"/>
              <w:jc w:val="left"/>
            </w:pPr>
            <w:r>
              <w:rPr>
                <w:rFonts w:ascii="Arial" w:eastAsia="Arial" w:hAnsi="Arial" w:cs="Arial"/>
                <w:sz w:val="12"/>
              </w:rPr>
              <w:t>Entity/relation F1</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5B2928A8" w14:textId="77777777" w:rsidR="0021274A" w:rsidRDefault="00000000">
            <w:pPr>
              <w:spacing w:after="0" w:line="259" w:lineRule="auto"/>
              <w:ind w:left="0" w:firstLine="0"/>
              <w:jc w:val="left"/>
            </w:pPr>
            <w:r>
              <w:rPr>
                <w:rFonts w:ascii="Arial" w:eastAsia="Arial" w:hAnsi="Arial" w:cs="Arial"/>
                <w:sz w:val="12"/>
              </w:rPr>
              <w:t>&gt;=0.85</w:t>
            </w:r>
          </w:p>
        </w:tc>
      </w:tr>
      <w:tr w:rsidR="0021274A" w14:paraId="574FC23A"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6EBD0483" w14:textId="77777777" w:rsidR="0021274A" w:rsidRDefault="00000000">
            <w:pPr>
              <w:spacing w:after="0" w:line="259" w:lineRule="auto"/>
              <w:ind w:left="0" w:firstLine="0"/>
              <w:jc w:val="left"/>
            </w:pPr>
            <w:r>
              <w:rPr>
                <w:rFonts w:ascii="Arial" w:eastAsia="Arial" w:hAnsi="Arial" w:cs="Arial"/>
                <w:sz w:val="12"/>
              </w:rPr>
              <w:t>Verification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646307EE" w14:textId="77777777" w:rsidR="0021274A" w:rsidRDefault="00000000">
            <w:pPr>
              <w:spacing w:after="0" w:line="259" w:lineRule="auto"/>
              <w:ind w:left="0" w:firstLine="0"/>
              <w:jc w:val="left"/>
            </w:pPr>
            <w:r>
              <w:rPr>
                <w:rFonts w:ascii="Arial" w:eastAsia="Arial" w:hAnsi="Arial" w:cs="Arial"/>
                <w:sz w:val="12"/>
              </w:rPr>
              <w:t>Unsupported-claim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4634167E" w14:textId="77777777" w:rsidR="0021274A" w:rsidRDefault="00000000">
            <w:pPr>
              <w:spacing w:after="0" w:line="259" w:lineRule="auto"/>
              <w:ind w:left="0" w:firstLine="0"/>
              <w:jc w:val="left"/>
            </w:pPr>
            <w:r>
              <w:rPr>
                <w:rFonts w:ascii="Arial" w:eastAsia="Arial" w:hAnsi="Arial" w:cs="Arial"/>
                <w:sz w:val="12"/>
              </w:rPr>
              <w:t>&lt;2%</w:t>
            </w:r>
          </w:p>
        </w:tc>
      </w:tr>
      <w:tr w:rsidR="0021274A" w14:paraId="3079C24F"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29DB1ED6" w14:textId="77777777" w:rsidR="0021274A" w:rsidRDefault="00000000">
            <w:pPr>
              <w:spacing w:after="0" w:line="259" w:lineRule="auto"/>
              <w:ind w:left="0" w:firstLine="0"/>
              <w:jc w:val="left"/>
            </w:pPr>
            <w:r>
              <w:rPr>
                <w:rFonts w:ascii="Arial" w:eastAsia="Arial" w:hAnsi="Arial" w:cs="Arial"/>
                <w:sz w:val="12"/>
              </w:rPr>
              <w:t>Mapping</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563AC392" w14:textId="77777777" w:rsidR="0021274A" w:rsidRDefault="00000000">
            <w:pPr>
              <w:spacing w:after="0" w:line="259" w:lineRule="auto"/>
              <w:ind w:left="0" w:firstLine="0"/>
              <w:jc w:val="left"/>
            </w:pPr>
            <w:r>
              <w:rPr>
                <w:rFonts w:ascii="Arial" w:eastAsia="Arial" w:hAnsi="Arial" w:cs="Arial"/>
                <w:sz w:val="12"/>
              </w:rPr>
              <w:t>Correct affected-path rate</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276D8AFD" w14:textId="77777777" w:rsidR="0021274A" w:rsidRDefault="00000000">
            <w:pPr>
              <w:spacing w:after="0" w:line="259" w:lineRule="auto"/>
              <w:ind w:left="0" w:firstLine="0"/>
              <w:jc w:val="left"/>
            </w:pPr>
            <w:r>
              <w:rPr>
                <w:rFonts w:ascii="Arial" w:eastAsia="Arial" w:hAnsi="Arial" w:cs="Arial"/>
                <w:sz w:val="12"/>
              </w:rPr>
              <w:t>&gt;=0.80</w:t>
            </w:r>
          </w:p>
        </w:tc>
      </w:tr>
      <w:tr w:rsidR="0021274A" w14:paraId="181B32EA"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4A202598" w14:textId="77777777" w:rsidR="0021274A" w:rsidRDefault="00000000">
            <w:pPr>
              <w:spacing w:after="0" w:line="259" w:lineRule="auto"/>
              <w:ind w:left="0" w:firstLine="0"/>
              <w:jc w:val="left"/>
            </w:pPr>
            <w:r>
              <w:rPr>
                <w:rFonts w:ascii="Arial" w:eastAsia="Arial" w:hAnsi="Arial" w:cs="Arial"/>
                <w:sz w:val="12"/>
              </w:rPr>
              <w:t>Risk</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4E4F0A57" w14:textId="77777777" w:rsidR="0021274A" w:rsidRDefault="00000000">
            <w:pPr>
              <w:spacing w:after="0" w:line="259" w:lineRule="auto"/>
              <w:ind w:left="0" w:firstLine="0"/>
              <w:jc w:val="left"/>
            </w:pPr>
            <w:r>
              <w:rPr>
                <w:rFonts w:ascii="Arial" w:eastAsia="Arial" w:hAnsi="Arial" w:cs="Arial"/>
                <w:sz w:val="12"/>
              </w:rPr>
              <w:t>Brier score; calibration error</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494C8871" w14:textId="77777777" w:rsidR="0021274A" w:rsidRDefault="00000000">
            <w:pPr>
              <w:spacing w:after="0" w:line="259" w:lineRule="auto"/>
              <w:ind w:left="0" w:firstLine="0"/>
              <w:jc w:val="left"/>
            </w:pPr>
            <w:r>
              <w:rPr>
                <w:rFonts w:ascii="Arial" w:eastAsia="Arial" w:hAnsi="Arial" w:cs="Arial"/>
                <w:sz w:val="12"/>
              </w:rPr>
              <w:t>Improve baseline</w:t>
            </w:r>
          </w:p>
        </w:tc>
      </w:tr>
      <w:tr w:rsidR="0021274A" w14:paraId="60A9ABCD"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667D0902" w14:textId="77777777" w:rsidR="0021274A" w:rsidRDefault="00000000">
            <w:pPr>
              <w:spacing w:after="0" w:line="259" w:lineRule="auto"/>
              <w:ind w:left="0" w:firstLine="0"/>
              <w:jc w:val="left"/>
            </w:pPr>
            <w:r>
              <w:rPr>
                <w:rFonts w:ascii="Arial" w:eastAsia="Arial" w:hAnsi="Arial" w:cs="Arial"/>
                <w:sz w:val="12"/>
              </w:rPr>
              <w:t>Impact</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65CF6EEF" w14:textId="77777777" w:rsidR="0021274A" w:rsidRDefault="00000000">
            <w:pPr>
              <w:spacing w:after="0" w:line="259" w:lineRule="auto"/>
              <w:ind w:left="0" w:firstLine="0"/>
              <w:jc w:val="left"/>
            </w:pPr>
            <w:r>
              <w:rPr>
                <w:rFonts w:ascii="Arial" w:eastAsia="Arial" w:hAnsi="Arial" w:cs="Arial"/>
                <w:sz w:val="12"/>
              </w:rPr>
              <w:t>MAE for delay/DOC</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61DFC587" w14:textId="77777777" w:rsidR="0021274A" w:rsidRDefault="00000000">
            <w:pPr>
              <w:spacing w:after="0" w:line="259" w:lineRule="auto"/>
              <w:ind w:left="0" w:firstLine="0"/>
              <w:jc w:val="left"/>
            </w:pPr>
            <w:r>
              <w:rPr>
                <w:rFonts w:ascii="Arial" w:eastAsia="Arial" w:hAnsi="Arial" w:cs="Arial"/>
                <w:sz w:val="12"/>
              </w:rPr>
              <w:t>Use-case set</w:t>
            </w:r>
          </w:p>
        </w:tc>
      </w:tr>
      <w:tr w:rsidR="0021274A" w14:paraId="3575205B"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6830B68E" w14:textId="77777777" w:rsidR="0021274A" w:rsidRDefault="00000000">
            <w:pPr>
              <w:spacing w:after="0" w:line="259" w:lineRule="auto"/>
              <w:ind w:left="0" w:firstLine="0"/>
              <w:jc w:val="left"/>
            </w:pPr>
            <w:r>
              <w:rPr>
                <w:rFonts w:ascii="Arial" w:eastAsia="Arial" w:hAnsi="Arial" w:cs="Arial"/>
                <w:sz w:val="12"/>
              </w:rPr>
              <w:t>Action</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2FD852AF" w14:textId="77777777" w:rsidR="0021274A" w:rsidRDefault="00000000">
            <w:pPr>
              <w:spacing w:after="0" w:line="259" w:lineRule="auto"/>
              <w:ind w:left="0" w:firstLine="0"/>
              <w:jc w:val="left"/>
            </w:pPr>
            <w:r>
              <w:rPr>
                <w:rFonts w:ascii="Arial" w:eastAsia="Arial" w:hAnsi="Arial" w:cs="Arial"/>
                <w:sz w:val="12"/>
              </w:rPr>
              <w:t>Feasible recommendation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18E8C909" w14:textId="77777777" w:rsidR="0021274A" w:rsidRDefault="00000000">
            <w:pPr>
              <w:spacing w:after="0" w:line="259" w:lineRule="auto"/>
              <w:ind w:left="0" w:firstLine="0"/>
              <w:jc w:val="left"/>
            </w:pPr>
            <w:r>
              <w:rPr>
                <w:rFonts w:ascii="Arial" w:eastAsia="Arial" w:hAnsi="Arial" w:cs="Arial"/>
                <w:sz w:val="12"/>
              </w:rPr>
              <w:t>&gt;=0.90</w:t>
            </w:r>
          </w:p>
        </w:tc>
      </w:tr>
      <w:tr w:rsidR="0021274A" w14:paraId="6AEFB195"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EAF2F8"/>
          </w:tcPr>
          <w:p w14:paraId="696724D6" w14:textId="77777777" w:rsidR="0021274A" w:rsidRDefault="00000000">
            <w:pPr>
              <w:spacing w:after="0" w:line="259" w:lineRule="auto"/>
              <w:ind w:left="0" w:firstLine="0"/>
              <w:jc w:val="left"/>
            </w:pPr>
            <w:r>
              <w:rPr>
                <w:rFonts w:ascii="Arial" w:eastAsia="Arial" w:hAnsi="Arial" w:cs="Arial"/>
                <w:sz w:val="12"/>
              </w:rPr>
              <w:t>Workflow</w:t>
            </w:r>
          </w:p>
        </w:tc>
        <w:tc>
          <w:tcPr>
            <w:tcW w:w="2154" w:type="dxa"/>
            <w:tcBorders>
              <w:top w:val="single" w:sz="2" w:space="0" w:color="AAB7C4"/>
              <w:left w:val="single" w:sz="2" w:space="0" w:color="AAB7C4"/>
              <w:bottom w:val="single" w:sz="2" w:space="0" w:color="AAB7C4"/>
              <w:right w:val="single" w:sz="2" w:space="0" w:color="AAB7C4"/>
            </w:tcBorders>
            <w:shd w:val="clear" w:color="auto" w:fill="EAF2F8"/>
          </w:tcPr>
          <w:p w14:paraId="34FD2785" w14:textId="77777777" w:rsidR="0021274A" w:rsidRDefault="00000000">
            <w:pPr>
              <w:spacing w:after="0" w:line="259" w:lineRule="auto"/>
              <w:ind w:left="0" w:firstLine="0"/>
              <w:jc w:val="left"/>
            </w:pPr>
            <w:r>
              <w:rPr>
                <w:rFonts w:ascii="Arial" w:eastAsia="Arial" w:hAnsi="Arial" w:cs="Arial"/>
                <w:sz w:val="12"/>
              </w:rPr>
              <w:t>Median alert-to-decision time</w:t>
            </w:r>
          </w:p>
        </w:tc>
        <w:tc>
          <w:tcPr>
            <w:tcW w:w="1468" w:type="dxa"/>
            <w:tcBorders>
              <w:top w:val="single" w:sz="2" w:space="0" w:color="AAB7C4"/>
              <w:left w:val="single" w:sz="2" w:space="0" w:color="AAB7C4"/>
              <w:bottom w:val="single" w:sz="2" w:space="0" w:color="AAB7C4"/>
              <w:right w:val="single" w:sz="2" w:space="0" w:color="AAB7C4"/>
            </w:tcBorders>
            <w:shd w:val="clear" w:color="auto" w:fill="EAF2F8"/>
          </w:tcPr>
          <w:p w14:paraId="6EE1E3DE" w14:textId="77777777" w:rsidR="0021274A" w:rsidRDefault="00000000">
            <w:pPr>
              <w:spacing w:after="0" w:line="259" w:lineRule="auto"/>
              <w:ind w:left="0" w:firstLine="0"/>
              <w:jc w:val="left"/>
            </w:pPr>
            <w:r>
              <w:rPr>
                <w:rFonts w:ascii="Arial" w:eastAsia="Arial" w:hAnsi="Arial" w:cs="Arial"/>
                <w:sz w:val="12"/>
              </w:rPr>
              <w:t>-50% vs baseline</w:t>
            </w:r>
          </w:p>
        </w:tc>
      </w:tr>
      <w:tr w:rsidR="0021274A" w14:paraId="23AD2A6C" w14:textId="77777777">
        <w:trPr>
          <w:trHeight w:val="238"/>
        </w:trPr>
        <w:tc>
          <w:tcPr>
            <w:tcW w:w="1134" w:type="dxa"/>
            <w:tcBorders>
              <w:top w:val="single" w:sz="2" w:space="0" w:color="AAB7C4"/>
              <w:left w:val="single" w:sz="2" w:space="0" w:color="AAB7C4"/>
              <w:bottom w:val="single" w:sz="2" w:space="0" w:color="AAB7C4"/>
              <w:right w:val="single" w:sz="2" w:space="0" w:color="AAB7C4"/>
            </w:tcBorders>
            <w:shd w:val="clear" w:color="auto" w:fill="FFFFFF"/>
          </w:tcPr>
          <w:p w14:paraId="087C9DBD" w14:textId="77777777" w:rsidR="0021274A" w:rsidRDefault="00000000">
            <w:pPr>
              <w:spacing w:after="0" w:line="259" w:lineRule="auto"/>
              <w:ind w:left="0" w:firstLine="0"/>
              <w:jc w:val="left"/>
            </w:pPr>
            <w:r>
              <w:rPr>
                <w:rFonts w:ascii="Arial" w:eastAsia="Arial" w:hAnsi="Arial" w:cs="Arial"/>
                <w:sz w:val="12"/>
              </w:rPr>
              <w:t>Safety</w:t>
            </w:r>
          </w:p>
        </w:tc>
        <w:tc>
          <w:tcPr>
            <w:tcW w:w="2154" w:type="dxa"/>
            <w:tcBorders>
              <w:top w:val="single" w:sz="2" w:space="0" w:color="AAB7C4"/>
              <w:left w:val="single" w:sz="2" w:space="0" w:color="AAB7C4"/>
              <w:bottom w:val="single" w:sz="2" w:space="0" w:color="AAB7C4"/>
              <w:right w:val="single" w:sz="2" w:space="0" w:color="AAB7C4"/>
            </w:tcBorders>
            <w:shd w:val="clear" w:color="auto" w:fill="FFFFFF"/>
          </w:tcPr>
          <w:p w14:paraId="2FBC11D6" w14:textId="77777777" w:rsidR="0021274A" w:rsidRDefault="00000000">
            <w:pPr>
              <w:spacing w:after="0" w:line="259" w:lineRule="auto"/>
              <w:ind w:left="0" w:firstLine="0"/>
              <w:jc w:val="left"/>
            </w:pPr>
            <w:r>
              <w:rPr>
                <w:rFonts w:ascii="Arial" w:eastAsia="Arial" w:hAnsi="Arial" w:cs="Arial"/>
                <w:sz w:val="12"/>
              </w:rPr>
              <w:t>Unauthorized action rate</w:t>
            </w:r>
          </w:p>
        </w:tc>
        <w:tc>
          <w:tcPr>
            <w:tcW w:w="1468" w:type="dxa"/>
            <w:tcBorders>
              <w:top w:val="single" w:sz="2" w:space="0" w:color="AAB7C4"/>
              <w:left w:val="single" w:sz="2" w:space="0" w:color="AAB7C4"/>
              <w:bottom w:val="single" w:sz="2" w:space="0" w:color="AAB7C4"/>
              <w:right w:val="single" w:sz="2" w:space="0" w:color="AAB7C4"/>
            </w:tcBorders>
            <w:shd w:val="clear" w:color="auto" w:fill="FFFFFF"/>
          </w:tcPr>
          <w:p w14:paraId="5D04FEBB" w14:textId="77777777" w:rsidR="0021274A" w:rsidRDefault="00000000">
            <w:pPr>
              <w:spacing w:after="0" w:line="259" w:lineRule="auto"/>
              <w:ind w:left="0" w:firstLine="0"/>
              <w:jc w:val="left"/>
            </w:pPr>
            <w:r>
              <w:rPr>
                <w:rFonts w:ascii="Arial" w:eastAsia="Arial" w:hAnsi="Arial" w:cs="Arial"/>
                <w:sz w:val="12"/>
              </w:rPr>
              <w:t>0</w:t>
            </w:r>
          </w:p>
        </w:tc>
      </w:tr>
    </w:tbl>
    <w:p w14:paraId="45412695" w14:textId="77777777" w:rsidR="0021274A" w:rsidRDefault="00000000">
      <w:pPr>
        <w:spacing w:line="251" w:lineRule="auto"/>
        <w:jc w:val="center"/>
      </w:pPr>
      <w:r>
        <w:rPr>
          <w:color w:val="4B5563"/>
          <w:sz w:val="14"/>
        </w:rPr>
        <w:t>TABLE VIII. PROPOSED PILOT METRICS. *Targets are acceptance criteria, not achieved results.</w:t>
      </w:r>
    </w:p>
    <w:p w14:paraId="6F72088E" w14:textId="0226D0F2" w:rsidR="0021274A" w:rsidRDefault="00000000">
      <w:pPr>
        <w:ind w:left="-5"/>
      </w:pPr>
      <w:r>
        <w:t xml:space="preserve">Baselines are: keyword alerts plus manual analysis; LLM extraction without verification; and risk ranking without a digital twin. </w:t>
      </w:r>
      <w:r w:rsidR="00144D08">
        <w:t>Component-removal tests</w:t>
      </w:r>
      <w:r>
        <w:t xml:space="preserve"> remove provenance, graph context, or deterministic simulation to quantify their contribution. Analysts blind-score relevance, traceability, feasibility, and clarity. Operational users complete timed scenario tasks and a structured usefulness survey.</w:t>
      </w:r>
    </w:p>
    <w:p w14:paraId="04BF150B" w14:textId="77777777" w:rsidR="0021274A" w:rsidRDefault="00000000">
      <w:pPr>
        <w:pStyle w:val="Heading2"/>
        <w:ind w:left="-5"/>
      </w:pPr>
      <w:r>
        <w:rPr>
          <w:b/>
        </w:rPr>
        <w:t>E.</w:t>
      </w:r>
      <w:r>
        <w:t xml:space="preserve"> Feasibility and Implementation</w:t>
      </w:r>
    </w:p>
    <w:p w14:paraId="3196F860" w14:textId="77777777" w:rsidR="0021274A" w:rsidRDefault="00000000">
      <w:pPr>
        <w:ind w:left="-5"/>
      </w:pPr>
      <w:r>
        <w:t>A 12- to 16-week pilot is proposed. Weeks 1-3 define the ontology, data-sharing boundary, and success metrics. Weeks 4-7 integrate a narrow supplier/product scope and build event extraction. Weeks 8-10 add graph mapping and deterministic inventory/lead-time calculations. Weeks 11-13 add scenario comparison, dashboard, and draft communications. Weeks 14-16 run replay tests, red-team exercises, and user acceptance.</w:t>
      </w:r>
    </w:p>
    <w:p w14:paraId="07C34941" w14:textId="67775D8A" w:rsidR="0021274A" w:rsidRDefault="00000000">
      <w:pPr>
        <w:ind w:left="-5"/>
      </w:pPr>
      <w:r>
        <w:t xml:space="preserve">The technical stack can use a relational store for enterprise records, a graph </w:t>
      </w:r>
      <w:r w:rsidR="00144D08">
        <w:t xml:space="preserve">SQL </w:t>
      </w:r>
      <w:r>
        <w:t>database for dependencies, object storage for source documents, a queue for event processing, a simulation service, and a web dashboard. Model choice remains replaceable. Deployment may be cloud</w:t>
      </w:r>
      <w:r w:rsidR="00144D08">
        <w:t xml:space="preserve"> (via AWS)</w:t>
      </w:r>
      <w:r>
        <w:t>, virtual private cloud, or on-premises depending on confidentiality and integration constraints.</w:t>
      </w:r>
    </w:p>
    <w:p w14:paraId="69DDF5F0" w14:textId="77777777" w:rsidR="0021274A" w:rsidRDefault="00000000">
      <w:pPr>
        <w:pStyle w:val="Heading2"/>
        <w:ind w:left="-5"/>
      </w:pPr>
      <w:r>
        <w:rPr>
          <w:b/>
        </w:rPr>
        <w:t>F.</w:t>
      </w:r>
      <w:r>
        <w:t xml:space="preserve"> Evaluation Threats</w:t>
      </w:r>
    </w:p>
    <w:p w14:paraId="0330E24A" w14:textId="77777777" w:rsidR="0021274A" w:rsidRDefault="00000000">
      <w:pPr>
        <w:ind w:left="-5"/>
      </w:pPr>
      <w:r>
        <w:t>Historical coverage may favor highly reported events; ground truth for supplier impact may be unavailable; analysts may disagree on relevance; and synthetic scenarios may not match real behavior. Results therefore require confidence intervals, category-level reporting, dataset documentation, and clear separation between retrospective accuracy and prospective operational value.</w:t>
      </w:r>
    </w:p>
    <w:p w14:paraId="0565EC28" w14:textId="77777777" w:rsidR="0021274A" w:rsidRDefault="00000000">
      <w:pPr>
        <w:pStyle w:val="Heading1"/>
        <w:spacing w:after="78"/>
        <w:ind w:left="17"/>
        <w:jc w:val="left"/>
      </w:pPr>
      <w:r>
        <w:rPr>
          <w:b/>
        </w:rPr>
        <w:t>VI.</w:t>
      </w:r>
      <w:r>
        <w:t xml:space="preserve"> GOVERNANCE, LIMITATIONS, AND CONCLUSION</w:t>
      </w:r>
    </w:p>
    <w:p w14:paraId="322161A6" w14:textId="77777777" w:rsidR="0021274A" w:rsidRDefault="00000000">
      <w:pPr>
        <w:pStyle w:val="Heading2"/>
        <w:ind w:left="166"/>
      </w:pPr>
      <w:r>
        <w:t xml:space="preserve"> Data, Security, and Privacy</w:t>
      </w:r>
    </w:p>
    <w:p w14:paraId="45ABE0BB" w14:textId="77777777" w:rsidR="0021274A" w:rsidRDefault="00000000">
      <w:pPr>
        <w:ind w:left="-5"/>
      </w:pPr>
      <w:r>
        <w:t>The governance design follows the NIST AI RMF functions - Govern, Map, Measure, and Manage [13] - and addresses generative-AI risks such as confabulation and information integrity [14]. Cybersecurity controls map to NIST CSF 2.0 [15]. Zero-trust principles require explicit, continuously evaluated access to resources rather than trust based on network location [16].</w:t>
      </w:r>
    </w:p>
    <w:p w14:paraId="6DD942CE" w14:textId="77777777" w:rsidR="0021274A" w:rsidRDefault="00000000">
      <w:pPr>
        <w:ind w:left="-5"/>
      </w:pPr>
      <w:r>
        <w:t>Controls include source allowlists; data minimization; encryption; tenant isolation; role- and attribute-based access; secret management; software and model inventories; prompt/input sanitization; network egress restrictions; immutable audit events; retention schedules; backups; incident response; and periodic penetration and dependency testing. Sensitive supplier prices, forecasts, and customer orders are excluded from prompts unless strictly required and contractually permitted.</w:t>
      </w:r>
    </w:p>
    <w:p w14:paraId="42E4CB54" w14:textId="77777777" w:rsidR="0021274A" w:rsidRDefault="00000000">
      <w:pPr>
        <w:pStyle w:val="Heading2"/>
        <w:ind w:left="-5"/>
      </w:pPr>
      <w:r>
        <w:rPr>
          <w:b/>
        </w:rPr>
        <w:t>B.</w:t>
      </w:r>
      <w:r>
        <w:t xml:space="preserve"> Hallucination and Source Controls</w:t>
      </w:r>
    </w:p>
    <w:p w14:paraId="5E591DF8" w14:textId="77777777" w:rsidR="0021274A" w:rsidRDefault="00000000">
      <w:pPr>
        <w:ind w:left="-5"/>
      </w:pPr>
      <w:r>
        <w:t>Generated facts must cite retrieved evidence. Structured fields are schema-validated; numeric values are recalculated outside the LLM; dates and units are normalized; contradictions trigger review; and low-confidence mappings cannot automatically propagate to high-severity actions. The interface distinguishes quoted source facts, enterprise facts, model inferences, scenario assumptions, and user decisions.</w:t>
      </w:r>
    </w:p>
    <w:p w14:paraId="1BDFA5BD" w14:textId="77777777" w:rsidR="0021274A" w:rsidRDefault="00000000">
      <w:pPr>
        <w:pStyle w:val="Heading2"/>
        <w:ind w:left="-5"/>
      </w:pPr>
      <w:r>
        <w:rPr>
          <w:b/>
        </w:rPr>
        <w:t>C.</w:t>
      </w:r>
      <w:r>
        <w:t xml:space="preserve"> Human Oversight and Ethics</w:t>
      </w:r>
    </w:p>
    <w:p w14:paraId="0B194692" w14:textId="63C8BD20" w:rsidR="00661B0C" w:rsidRDefault="00000000" w:rsidP="005F035A">
      <w:pPr>
        <w:ind w:left="-5"/>
      </w:pPr>
      <w:r>
        <w:t>Consequential decisions remain accountable to named roles. Procurement commitments, supplier changes, customer promises, and external emails require approval. Recommendations should be checked for systematic disadvantage to small or geographically concentrated suppliers, and users must not treat public reporting as proof of wrongdoing. Source licensing, privacy, export-control, sanctions, competition, and contractual duties require jurisdiction-specific review.</w:t>
      </w:r>
      <w:r w:rsidR="005F035A">
        <w:t xml:space="preserve"> </w:t>
      </w:r>
      <w:r w:rsidR="005F035A" w:rsidRPr="005F035A">
        <w:t xml:space="preserve">Chainsilience AI must securely protect sensitive company data, including suppliers, routes, products, orders, inventory, and production schedules, using encryption and strict access controls. </w:t>
      </w:r>
      <w:r w:rsidR="005F035A" w:rsidRPr="005F035A">
        <w:lastRenderedPageBreak/>
        <w:t>This information must not be disclosed to third parties or used to train external AI models without explicit company consent.</w:t>
      </w:r>
    </w:p>
    <w:p w14:paraId="29C29156" w14:textId="544F8E77" w:rsidR="0021274A" w:rsidRDefault="00000000" w:rsidP="00661B0C">
      <w:pPr>
        <w:ind w:left="-5"/>
      </w:pPr>
      <w:r>
        <w:rPr>
          <w:b/>
        </w:rPr>
        <w:t>D.</w:t>
      </w:r>
      <w:r>
        <w:t xml:space="preserve"> </w:t>
      </w:r>
      <w:r w:rsidRPr="005F035A">
        <w:rPr>
          <w:i/>
          <w:iCs/>
        </w:rPr>
        <w:t>Limitations</w:t>
      </w:r>
    </w:p>
    <w:p w14:paraId="284E6763" w14:textId="77777777" w:rsidR="0021274A" w:rsidRDefault="00000000">
      <w:pPr>
        <w:ind w:left="-5"/>
      </w:pPr>
      <w:r>
        <w:t>Chainsilience AI cannot observe undisclosed multi-tier dependencies, guarantee source truth, predict unprecedented events with precision, or make unqualified suppliers immediately usable. Digital twins decay when master data are stale. LLM outputs remain probabilistic; simulation outputs inherit uncertain distributions; and optimizing one firm's resilience can shift cost or scarcity to others. The system is decision support, not autonomous authority.</w:t>
      </w:r>
    </w:p>
    <w:p w14:paraId="62E0FDF4" w14:textId="3407B779" w:rsidR="0021274A" w:rsidRDefault="00000000">
      <w:pPr>
        <w:ind w:left="-5"/>
      </w:pPr>
      <w:r>
        <w:rPr>
          <w:b/>
        </w:rPr>
        <w:t>Acknowledgment-</w:t>
      </w:r>
      <w:r>
        <w:t xml:space="preserve"> Prepared as a project white paper for IDSOL 2026. </w:t>
      </w:r>
    </w:p>
    <w:p w14:paraId="33EC4D8F" w14:textId="77777777" w:rsidR="0021274A" w:rsidRDefault="00000000">
      <w:pPr>
        <w:pStyle w:val="Heading2"/>
        <w:ind w:left="-5"/>
      </w:pPr>
      <w:r>
        <w:rPr>
          <w:b/>
        </w:rPr>
        <w:t>E.</w:t>
      </w:r>
      <w:r>
        <w:t xml:space="preserve"> Future Work</w:t>
      </w:r>
    </w:p>
    <w:p w14:paraId="0B684570" w14:textId="77777777" w:rsidR="0021274A" w:rsidRDefault="00000000">
      <w:pPr>
        <w:ind w:left="-5"/>
      </w:pPr>
      <w:r>
        <w:t>Future work includes probabilistic entity resolution, richer multi-tier mapping, causal recovery models, federated or privacy-preserving learning, active learning from analyst corrections, robust optimization, multilingual evaluation, and standardized connectors. A mature deployment should measure not only detection quality but whether decisions reduce expected loss without creating unacceptable security, fairness, or compliance risk.</w:t>
      </w:r>
    </w:p>
    <w:p w14:paraId="3A3C8F0A" w14:textId="77777777" w:rsidR="0021274A" w:rsidRDefault="00000000">
      <w:pPr>
        <w:pStyle w:val="Heading2"/>
        <w:ind w:left="-5"/>
      </w:pPr>
      <w:r>
        <w:rPr>
          <w:b/>
        </w:rPr>
        <w:t>F.</w:t>
      </w:r>
      <w:r>
        <w:t xml:space="preserve"> Conclusion</w:t>
      </w:r>
    </w:p>
    <w:p w14:paraId="404832B2" w14:textId="77777777" w:rsidR="0021274A" w:rsidRDefault="00000000">
      <w:pPr>
        <w:ind w:left="-5"/>
      </w:pPr>
      <w:r>
        <w:t>Chainsilience AI proposes a practical bridge between disruption news and operational response. Its architecture combines verified event extraction, provenance, a supply-chain knowledge graph, a digital twin, deterministic and probabilistic analytics, constrained planning, and approval-gated agentic communication. The design is deliberately hybrid: LLMs interpret language and draft explanations; graphs preserve relationships; simulators estimate consequences; solvers test feasible mitigations; and humans retain authority.</w:t>
      </w:r>
    </w:p>
    <w:p w14:paraId="2CCDBC1E" w14:textId="77777777" w:rsidR="0021274A" w:rsidRDefault="00000000">
      <w:pPr>
        <w:spacing w:after="214"/>
        <w:ind w:left="-5"/>
      </w:pPr>
      <w:r>
        <w:t>The central test for IDSOL 2026 is therefore not whether the system can produce a persuasive alert. It is whether that alert is earlier than the baseline, correctly linked to the company, quantitatively reproducible, operationally useful, secure, and safe to act upon. The proposed replay study and staged pilot make those claims falsifiable.</w:t>
      </w:r>
    </w:p>
    <w:p w14:paraId="64F3A7CE" w14:textId="77777777" w:rsidR="00661B0C" w:rsidRDefault="00661B0C" w:rsidP="00661B0C">
      <w:pPr>
        <w:pStyle w:val="Heading1"/>
        <w:spacing w:after="35"/>
      </w:pPr>
      <w:r>
        <w:t>REFERENCES</w:t>
      </w:r>
    </w:p>
    <w:p w14:paraId="7279858A" w14:textId="77777777" w:rsidR="00661B0C" w:rsidRDefault="00661B0C" w:rsidP="00661B0C">
      <w:pPr>
        <w:numPr>
          <w:ilvl w:val="0"/>
          <w:numId w:val="1"/>
        </w:numPr>
        <w:spacing w:after="38" w:line="248" w:lineRule="auto"/>
        <w:ind w:hanging="180"/>
        <w:jc w:val="left"/>
      </w:pPr>
      <w:r>
        <w:rPr>
          <w:sz w:val="13"/>
        </w:rPr>
        <w:t xml:space="preserve">UN Trade and Development, </w:t>
      </w:r>
      <w:r>
        <w:rPr>
          <w:i/>
          <w:sz w:val="13"/>
        </w:rPr>
        <w:t>Review of Maritime Transport 2024</w:t>
      </w:r>
      <w:r>
        <w:rPr>
          <w:sz w:val="13"/>
        </w:rPr>
        <w:t>, 2024. https://unctad.org/publication/review-maritime-transport-2024</w:t>
      </w:r>
    </w:p>
    <w:p w14:paraId="3B04FB11" w14:textId="77777777" w:rsidR="00661B0C" w:rsidRDefault="00661B0C" w:rsidP="00661B0C">
      <w:pPr>
        <w:numPr>
          <w:ilvl w:val="0"/>
          <w:numId w:val="1"/>
        </w:numPr>
        <w:spacing w:after="3" w:line="248" w:lineRule="auto"/>
        <w:ind w:hanging="180"/>
        <w:jc w:val="left"/>
      </w:pPr>
      <w:r>
        <w:rPr>
          <w:sz w:val="13"/>
        </w:rPr>
        <w:t xml:space="preserve">U.S. Bureau of Industry and Security, </w:t>
      </w:r>
      <w:r>
        <w:rPr>
          <w:i/>
          <w:sz w:val="13"/>
        </w:rPr>
        <w:t>Assessment of the Status of the Microelectronics Industrial Base in the United States</w:t>
      </w:r>
      <w:r>
        <w:rPr>
          <w:sz w:val="13"/>
        </w:rPr>
        <w:t>, 2023.</w:t>
      </w:r>
    </w:p>
    <w:p w14:paraId="49207F6F" w14:textId="77777777" w:rsidR="00661B0C" w:rsidRDefault="00661B0C" w:rsidP="00661B0C">
      <w:pPr>
        <w:spacing w:after="38" w:line="248" w:lineRule="auto"/>
        <w:ind w:left="255" w:firstLine="0"/>
        <w:jc w:val="left"/>
      </w:pPr>
      <w:r>
        <w:rPr>
          <w:sz w:val="13"/>
        </w:rPr>
        <w:t>https://www.bis.gov/media/documents/section-9904-report-final-20231221.pdf</w:t>
      </w:r>
    </w:p>
    <w:p w14:paraId="7EC5B15E" w14:textId="77777777" w:rsidR="00661B0C" w:rsidRDefault="00661B0C" w:rsidP="00661B0C">
      <w:pPr>
        <w:numPr>
          <w:ilvl w:val="0"/>
          <w:numId w:val="1"/>
        </w:numPr>
        <w:spacing w:after="38" w:line="248" w:lineRule="auto"/>
        <w:ind w:hanging="180"/>
        <w:jc w:val="left"/>
      </w:pPr>
      <w:r>
        <w:rPr>
          <w:sz w:val="13"/>
        </w:rPr>
        <w:t xml:space="preserve">L. V. Snyder et al., 'OR/MS models for supply chain disruptions: a review,' </w:t>
      </w:r>
      <w:r>
        <w:rPr>
          <w:i/>
          <w:sz w:val="13"/>
        </w:rPr>
        <w:t>IIE Transactions</w:t>
      </w:r>
      <w:r>
        <w:rPr>
          <w:sz w:val="13"/>
        </w:rPr>
        <w:t>, vol. 48, no. 2, pp. 89-109, 2016, doi: 10.1080/0740817X.2015.1067735.</w:t>
      </w:r>
    </w:p>
    <w:p w14:paraId="01326082" w14:textId="77777777" w:rsidR="00661B0C" w:rsidRDefault="00661B0C" w:rsidP="00661B0C">
      <w:pPr>
        <w:numPr>
          <w:ilvl w:val="0"/>
          <w:numId w:val="1"/>
        </w:numPr>
        <w:spacing w:after="0" w:line="248" w:lineRule="auto"/>
        <w:ind w:hanging="180"/>
        <w:jc w:val="left"/>
      </w:pPr>
      <w:r>
        <w:rPr>
          <w:sz w:val="13"/>
        </w:rPr>
        <w:t xml:space="preserve">D. Ivanov and A. Dolgui, 'A digital supply chain twin for managing disruption risks andresilience,' </w:t>
      </w:r>
      <w:r>
        <w:rPr>
          <w:i/>
          <w:sz w:val="13"/>
        </w:rPr>
        <w:t>Production Planning &amp; Control</w:t>
      </w:r>
      <w:r>
        <w:rPr>
          <w:sz w:val="13"/>
        </w:rPr>
        <w:t>, vol. 32, no. 9, pp. 775-788, 2021, doi:</w:t>
      </w:r>
    </w:p>
    <w:p w14:paraId="04AD0A5C" w14:textId="77777777" w:rsidR="00661B0C" w:rsidRDefault="00661B0C" w:rsidP="00661B0C">
      <w:pPr>
        <w:spacing w:after="38" w:line="248" w:lineRule="auto"/>
        <w:ind w:left="255" w:firstLine="0"/>
        <w:jc w:val="left"/>
      </w:pPr>
      <w:r>
        <w:rPr>
          <w:sz w:val="13"/>
        </w:rPr>
        <w:t>10.1080/09537287.2020.1768450.</w:t>
      </w:r>
    </w:p>
    <w:p w14:paraId="7D732890" w14:textId="77777777" w:rsidR="00661B0C" w:rsidRDefault="00661B0C" w:rsidP="00661B0C">
      <w:pPr>
        <w:numPr>
          <w:ilvl w:val="0"/>
          <w:numId w:val="1"/>
        </w:numPr>
        <w:spacing w:after="3" w:line="248" w:lineRule="auto"/>
        <w:ind w:hanging="180"/>
        <w:jc w:val="left"/>
      </w:pPr>
      <w:r>
        <w:rPr>
          <w:sz w:val="13"/>
        </w:rPr>
        <w:t xml:space="preserve">ISO, </w:t>
      </w:r>
      <w:r>
        <w:rPr>
          <w:i/>
          <w:sz w:val="13"/>
        </w:rPr>
        <w:t>ISO 23247-1:2021 Digital Twin Framework for Manufacturing - Overview and</w:t>
      </w:r>
    </w:p>
    <w:p w14:paraId="45E80A0A" w14:textId="77777777" w:rsidR="00661B0C" w:rsidRDefault="00661B0C" w:rsidP="00661B0C">
      <w:pPr>
        <w:spacing w:after="38" w:line="248" w:lineRule="auto"/>
        <w:ind w:left="255" w:firstLine="0"/>
        <w:jc w:val="left"/>
      </w:pPr>
      <w:r>
        <w:rPr>
          <w:i/>
          <w:sz w:val="13"/>
        </w:rPr>
        <w:t>General Principles</w:t>
      </w:r>
      <w:r>
        <w:rPr>
          <w:sz w:val="13"/>
        </w:rPr>
        <w:t>, 2021. https://www.iso.org/standard/75066.html</w:t>
      </w:r>
    </w:p>
    <w:p w14:paraId="71D6079C" w14:textId="77777777" w:rsidR="00661B0C" w:rsidRDefault="00661B0C" w:rsidP="00661B0C">
      <w:pPr>
        <w:numPr>
          <w:ilvl w:val="0"/>
          <w:numId w:val="1"/>
        </w:numPr>
        <w:spacing w:after="38" w:line="248" w:lineRule="auto"/>
        <w:ind w:hanging="180"/>
        <w:jc w:val="left"/>
      </w:pPr>
      <w:r>
        <w:rPr>
          <w:sz w:val="13"/>
        </w:rPr>
        <w:t xml:space="preserve">E. E. Kosasih et al., 'Towards knowledge graph reasoning for supply chain riskmanagement using graph neural networks,' </w:t>
      </w:r>
      <w:r>
        <w:rPr>
          <w:i/>
          <w:sz w:val="13"/>
        </w:rPr>
        <w:t>Int. J. Production Research</w:t>
      </w:r>
      <w:r>
        <w:rPr>
          <w:sz w:val="13"/>
        </w:rPr>
        <w:t>, vol. 62, no. 15, pp. 5596-5612, 2024, doi: 10.1080/00207543.2022.2100841.</w:t>
      </w:r>
    </w:p>
    <w:p w14:paraId="3AEECDAE" w14:textId="77777777" w:rsidR="00661B0C" w:rsidRDefault="00661B0C" w:rsidP="00661B0C">
      <w:pPr>
        <w:numPr>
          <w:ilvl w:val="0"/>
          <w:numId w:val="1"/>
        </w:numPr>
        <w:spacing w:after="38" w:line="248" w:lineRule="auto"/>
        <w:ind w:hanging="180"/>
        <w:jc w:val="left"/>
      </w:pPr>
      <w:r>
        <w:rPr>
          <w:sz w:val="13"/>
        </w:rPr>
        <w:t xml:space="preserve">S. AlMahri, L. Xu, and A. Brintrup, 'Enhancing supply chain visibility with knowledgegraphs and large language models,' </w:t>
      </w:r>
      <w:r>
        <w:rPr>
          <w:i/>
          <w:sz w:val="13"/>
        </w:rPr>
        <w:t>Int. J. Production Research</w:t>
      </w:r>
      <w:r>
        <w:rPr>
          <w:sz w:val="13"/>
        </w:rPr>
        <w:t>, vol. 64, no. 6, pp. 2178-2209, 2026, doi: 10.1080/00207543.2025.2575841.</w:t>
      </w:r>
    </w:p>
    <w:p w14:paraId="7655562A" w14:textId="77777777" w:rsidR="00661B0C" w:rsidRDefault="00661B0C" w:rsidP="00661B0C">
      <w:pPr>
        <w:numPr>
          <w:ilvl w:val="0"/>
          <w:numId w:val="1"/>
        </w:numPr>
        <w:spacing w:after="6" w:line="248" w:lineRule="auto"/>
        <w:ind w:hanging="180"/>
        <w:jc w:val="left"/>
      </w:pPr>
      <w:r>
        <w:rPr>
          <w:sz w:val="13"/>
        </w:rPr>
        <w:t xml:space="preserve">S. Yao et al., 'ReAct: Synergizing reasoning and acting in language models,' </w:t>
      </w:r>
      <w:r>
        <w:rPr>
          <w:i/>
          <w:sz w:val="13"/>
        </w:rPr>
        <w:t>ICLR</w:t>
      </w:r>
      <w:r>
        <w:rPr>
          <w:sz w:val="13"/>
        </w:rPr>
        <w:t>, 2023.</w:t>
      </w:r>
    </w:p>
    <w:p w14:paraId="42D76DD0" w14:textId="77777777" w:rsidR="00661B0C" w:rsidRDefault="00661B0C" w:rsidP="00661B0C">
      <w:pPr>
        <w:spacing w:after="38" w:line="248" w:lineRule="auto"/>
        <w:ind w:left="255" w:firstLine="0"/>
        <w:jc w:val="left"/>
      </w:pPr>
      <w:r>
        <w:rPr>
          <w:sz w:val="13"/>
        </w:rPr>
        <w:t>https://arxiv.org/abs/2210.03629</w:t>
      </w:r>
    </w:p>
    <w:p w14:paraId="23B15416" w14:textId="77777777" w:rsidR="00661B0C" w:rsidRDefault="00661B0C">
      <w:pPr>
        <w:spacing w:after="146" w:line="240" w:lineRule="auto"/>
        <w:ind w:left="0" w:firstLine="0"/>
      </w:pPr>
    </w:p>
    <w:p w14:paraId="58847C36" w14:textId="77777777" w:rsidR="0021274A" w:rsidRDefault="00000000">
      <w:pPr>
        <w:pStyle w:val="Heading1"/>
        <w:spacing w:after="35"/>
      </w:pPr>
      <w:r>
        <w:t>REFERENCES (CONTINUED)</w:t>
      </w:r>
    </w:p>
    <w:p w14:paraId="6D9E058C" w14:textId="77777777" w:rsidR="0021274A" w:rsidRDefault="00000000">
      <w:pPr>
        <w:numPr>
          <w:ilvl w:val="0"/>
          <w:numId w:val="2"/>
        </w:numPr>
        <w:spacing w:after="38" w:line="248" w:lineRule="auto"/>
        <w:ind w:hanging="243"/>
        <w:jc w:val="left"/>
      </w:pPr>
      <w:r>
        <w:rPr>
          <w:sz w:val="13"/>
        </w:rPr>
        <w:t>P. Lewis et al., 'Retrieval-augmented generation for knowledge-intensive NLP tasks,'</w:t>
      </w:r>
      <w:r>
        <w:rPr>
          <w:i/>
          <w:sz w:val="13"/>
        </w:rPr>
        <w:t>NeurIPS</w:t>
      </w:r>
      <w:r>
        <w:rPr>
          <w:sz w:val="13"/>
        </w:rPr>
        <w:t>, vol. 33, pp. 9459-9474, 2020. https://arxiv.org/abs/2005.11401</w:t>
      </w:r>
    </w:p>
    <w:p w14:paraId="6247B535" w14:textId="77777777" w:rsidR="0021274A" w:rsidRDefault="00000000">
      <w:pPr>
        <w:numPr>
          <w:ilvl w:val="0"/>
          <w:numId w:val="2"/>
        </w:numPr>
        <w:spacing w:after="38" w:line="248" w:lineRule="auto"/>
        <w:ind w:hanging="243"/>
        <w:jc w:val="left"/>
      </w:pPr>
      <w:r>
        <w:rPr>
          <w:sz w:val="13"/>
        </w:rPr>
        <w:t xml:space="preserve">W3C, </w:t>
      </w:r>
      <w:r>
        <w:rPr>
          <w:i/>
          <w:sz w:val="13"/>
        </w:rPr>
        <w:t>PROV-O: The PROV Ontology</w:t>
      </w:r>
      <w:r>
        <w:rPr>
          <w:sz w:val="13"/>
        </w:rPr>
        <w:t>, W3C Recommendation, 2013. https://www.w3.org/TR/prov-o/</w:t>
      </w:r>
    </w:p>
    <w:p w14:paraId="73FF9B13" w14:textId="77777777" w:rsidR="0021274A" w:rsidRDefault="00000000">
      <w:pPr>
        <w:numPr>
          <w:ilvl w:val="0"/>
          <w:numId w:val="2"/>
        </w:numPr>
        <w:spacing w:after="38" w:line="248" w:lineRule="auto"/>
        <w:ind w:hanging="243"/>
        <w:jc w:val="left"/>
      </w:pPr>
      <w:r>
        <w:rPr>
          <w:sz w:val="13"/>
        </w:rPr>
        <w:t>U.S. Geological Survey, 'Strong quake and aftershocks rattle eastern Taiwan,' Apr. 3,2024. https://www.usgs.gov/news/featured-story/strong-quake-and-aftershocks-rattle-ea stern-taiwan</w:t>
      </w:r>
    </w:p>
    <w:p w14:paraId="2FED2C87" w14:textId="77777777" w:rsidR="0021274A" w:rsidRDefault="00000000">
      <w:pPr>
        <w:numPr>
          <w:ilvl w:val="0"/>
          <w:numId w:val="2"/>
        </w:numPr>
        <w:spacing w:after="38" w:line="248" w:lineRule="auto"/>
        <w:ind w:hanging="243"/>
        <w:jc w:val="left"/>
      </w:pPr>
      <w:r>
        <w:rPr>
          <w:sz w:val="13"/>
        </w:rPr>
        <w:t xml:space="preserve">Taiwan Semiconductor Manufacturing Company, </w:t>
      </w:r>
      <w:r>
        <w:rPr>
          <w:i/>
          <w:sz w:val="13"/>
        </w:rPr>
        <w:t>2024 Annual Report</w:t>
      </w:r>
      <w:r>
        <w:rPr>
          <w:sz w:val="13"/>
        </w:rPr>
        <w:t>, ch. 6, 2025. https://investor.tsmc.com/sites/ir/annual-report/2024/2024%20Annual%20Report_E.pdf</w:t>
      </w:r>
    </w:p>
    <w:p w14:paraId="38D1FE00" w14:textId="77777777" w:rsidR="0021274A" w:rsidRDefault="00000000">
      <w:pPr>
        <w:numPr>
          <w:ilvl w:val="0"/>
          <w:numId w:val="2"/>
        </w:numPr>
        <w:spacing w:after="39" w:line="248" w:lineRule="auto"/>
        <w:ind w:hanging="243"/>
        <w:jc w:val="left"/>
      </w:pPr>
      <w:r>
        <w:rPr>
          <w:sz w:val="13"/>
        </w:rPr>
        <w:t xml:space="preserve">NIST, </w:t>
      </w:r>
      <w:r>
        <w:rPr>
          <w:i/>
          <w:sz w:val="13"/>
        </w:rPr>
        <w:t>Artificial Intelligence Risk Management Framework (AI RMF 1.0)</w:t>
      </w:r>
      <w:r>
        <w:rPr>
          <w:sz w:val="13"/>
        </w:rPr>
        <w:t>, NIST AI 100-1, 2023, doi: 10.6028/NIST.AI.100-1.</w:t>
      </w:r>
    </w:p>
    <w:p w14:paraId="6B0A205C" w14:textId="77777777" w:rsidR="0021274A" w:rsidRDefault="00000000">
      <w:pPr>
        <w:numPr>
          <w:ilvl w:val="0"/>
          <w:numId w:val="2"/>
        </w:numPr>
        <w:spacing w:after="39" w:line="248" w:lineRule="auto"/>
        <w:ind w:hanging="243"/>
        <w:jc w:val="left"/>
      </w:pPr>
      <w:r>
        <w:rPr>
          <w:sz w:val="13"/>
        </w:rPr>
        <w:t xml:space="preserve">NIST, </w:t>
      </w:r>
      <w:r>
        <w:rPr>
          <w:i/>
          <w:sz w:val="13"/>
        </w:rPr>
        <w:t>Artificial Intelligence Risk Management Framework: Generative AI Profile</w:t>
      </w:r>
      <w:r>
        <w:rPr>
          <w:sz w:val="13"/>
        </w:rPr>
        <w:t>, NIST AI 600-1, 2024, doi: 10.6028/NIST.AI.600-1.</w:t>
      </w:r>
    </w:p>
    <w:p w14:paraId="7E886BDE" w14:textId="77777777" w:rsidR="0021274A" w:rsidRDefault="00000000">
      <w:pPr>
        <w:numPr>
          <w:ilvl w:val="0"/>
          <w:numId w:val="2"/>
        </w:numPr>
        <w:spacing w:after="6" w:line="248" w:lineRule="auto"/>
        <w:ind w:hanging="243"/>
        <w:jc w:val="left"/>
      </w:pPr>
      <w:r>
        <w:rPr>
          <w:sz w:val="13"/>
        </w:rPr>
        <w:t xml:space="preserve">NIST, </w:t>
      </w:r>
      <w:r>
        <w:rPr>
          <w:i/>
          <w:sz w:val="13"/>
        </w:rPr>
        <w:t>Cybersecurity Framework 2.0</w:t>
      </w:r>
      <w:r>
        <w:rPr>
          <w:sz w:val="13"/>
        </w:rPr>
        <w:t>, NIST CSWP 29, 2024, doi:</w:t>
      </w:r>
    </w:p>
    <w:p w14:paraId="529F2CFE" w14:textId="77777777" w:rsidR="0021274A" w:rsidRDefault="00000000">
      <w:pPr>
        <w:spacing w:after="38" w:line="248" w:lineRule="auto"/>
        <w:ind w:left="255" w:firstLine="0"/>
        <w:jc w:val="left"/>
      </w:pPr>
      <w:r>
        <w:rPr>
          <w:sz w:val="13"/>
        </w:rPr>
        <w:t>10.6028/NIST.CSWP.29.</w:t>
      </w:r>
    </w:p>
    <w:p w14:paraId="3F8DE42A" w14:textId="77777777" w:rsidR="0021274A" w:rsidRDefault="00000000">
      <w:pPr>
        <w:numPr>
          <w:ilvl w:val="0"/>
          <w:numId w:val="2"/>
        </w:numPr>
        <w:spacing w:after="38" w:line="248" w:lineRule="auto"/>
        <w:ind w:hanging="243"/>
        <w:jc w:val="left"/>
      </w:pPr>
      <w:r>
        <w:rPr>
          <w:sz w:val="13"/>
        </w:rPr>
        <w:t xml:space="preserve">NIST, </w:t>
      </w:r>
      <w:r>
        <w:rPr>
          <w:i/>
          <w:sz w:val="13"/>
        </w:rPr>
        <w:t>Zero Trust Architecture</w:t>
      </w:r>
      <w:r>
        <w:rPr>
          <w:sz w:val="13"/>
        </w:rPr>
        <w:t>, SP 800-207, 2020, doi: 10.6028/NIST.SP.800-207.</w:t>
      </w:r>
    </w:p>
    <w:p w14:paraId="4176FB92" w14:textId="77777777" w:rsidR="0021274A" w:rsidRDefault="00000000">
      <w:pPr>
        <w:numPr>
          <w:ilvl w:val="0"/>
          <w:numId w:val="2"/>
        </w:numPr>
        <w:spacing w:after="38" w:line="248" w:lineRule="auto"/>
        <w:ind w:hanging="243"/>
        <w:jc w:val="left"/>
      </w:pPr>
      <w:r>
        <w:rPr>
          <w:sz w:val="13"/>
        </w:rPr>
        <w:t xml:space="preserve">Model Context Protocol, </w:t>
      </w:r>
      <w:r>
        <w:rPr>
          <w:i/>
          <w:sz w:val="13"/>
        </w:rPr>
        <w:t>Specification 2025-11-25</w:t>
      </w:r>
      <w:r>
        <w:rPr>
          <w:sz w:val="13"/>
        </w:rPr>
        <w:t>, 2025. https://modelcontextprotocol.io/specification/2025-11-25</w:t>
      </w:r>
    </w:p>
    <w:sectPr w:rsidR="0021274A">
      <w:headerReference w:type="even" r:id="rId19"/>
      <w:headerReference w:type="default" r:id="rId20"/>
      <w:footerReference w:type="even" r:id="rId21"/>
      <w:footerReference w:type="default" r:id="rId22"/>
      <w:headerReference w:type="first" r:id="rId23"/>
      <w:footerReference w:type="first" r:id="rId24"/>
      <w:pgSz w:w="11906" w:h="16838"/>
      <w:pgMar w:top="1086" w:right="992" w:bottom="2693" w:left="992" w:header="1408" w:footer="506" w:gutter="0"/>
      <w:cols w:num="2" w:space="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27C0" w14:textId="77777777" w:rsidR="00084CCE" w:rsidRDefault="00084CCE">
      <w:pPr>
        <w:spacing w:after="0" w:line="240" w:lineRule="auto"/>
      </w:pPr>
      <w:r>
        <w:separator/>
      </w:r>
    </w:p>
  </w:endnote>
  <w:endnote w:type="continuationSeparator" w:id="0">
    <w:p w14:paraId="1510DCCF" w14:textId="77777777" w:rsidR="00084CCE" w:rsidRDefault="00084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A865"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0278BC9" wp14:editId="682A91EE">
              <wp:simplePos x="0" y="0"/>
              <wp:positionH relativeFrom="page">
                <wp:posOffset>576000</wp:posOffset>
              </wp:positionH>
              <wp:positionV relativeFrom="page">
                <wp:posOffset>10162800</wp:posOffset>
              </wp:positionV>
              <wp:extent cx="6408001" cy="4445"/>
              <wp:effectExtent l="0" t="0" r="0" b="0"/>
              <wp:wrapSquare wrapText="bothSides"/>
              <wp:docPr id="16504" name="Group 16504"/>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05" name="Shape 16505"/>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04" style="width:504.567pt;height:0.35pt;position:absolute;mso-position-horizontal-relative:page;mso-position-horizontal:absolute;margin-left:45.3543pt;mso-position-vertical-relative:page;margin-top:800.22pt;" coordsize="64080,44">
              <v:shape id="Shape 16505"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0CC90655"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1704A3FA"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1720"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42D5797" wp14:editId="1A860690">
              <wp:simplePos x="0" y="0"/>
              <wp:positionH relativeFrom="page">
                <wp:posOffset>576000</wp:posOffset>
              </wp:positionH>
              <wp:positionV relativeFrom="page">
                <wp:posOffset>10162800</wp:posOffset>
              </wp:positionV>
              <wp:extent cx="6408001" cy="4445"/>
              <wp:effectExtent l="0" t="0" r="0" b="0"/>
              <wp:wrapSquare wrapText="bothSides"/>
              <wp:docPr id="16487" name="Group 16487"/>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488" name="Shape 16488"/>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87" style="width:504.567pt;height:0.35pt;position:absolute;mso-position-horizontal-relative:page;mso-position-horizontal:absolute;margin-left:45.3543pt;mso-position-vertical-relative:page;margin-top:800.22pt;" coordsize="64080,44">
              <v:shape id="Shape 16488"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2557EA96"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38CF4CAB"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767F" w14:textId="77777777" w:rsidR="0021274A" w:rsidRDefault="00000000">
    <w:pPr>
      <w:spacing w:after="0" w:line="259" w:lineRule="auto"/>
      <w:ind w:left="-61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2B67976" wp14:editId="4D5E71B8">
              <wp:simplePos x="0" y="0"/>
              <wp:positionH relativeFrom="page">
                <wp:posOffset>576000</wp:posOffset>
              </wp:positionH>
              <wp:positionV relativeFrom="page">
                <wp:posOffset>10162800</wp:posOffset>
              </wp:positionV>
              <wp:extent cx="6408001" cy="4445"/>
              <wp:effectExtent l="0" t="0" r="0" b="0"/>
              <wp:wrapSquare wrapText="bothSides"/>
              <wp:docPr id="16470" name="Group 16470"/>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471" name="Shape 16471"/>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70" style="width:504.567pt;height:0.35pt;position:absolute;mso-position-horizontal-relative:page;mso-position-horizontal:absolute;margin-left:45.3543pt;mso-position-vertical-relative:page;margin-top:800.22pt;" coordsize="64080,44">
              <v:shape id="Shape 16471"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7FF396C3" w14:textId="77777777" w:rsidR="0021274A" w:rsidRDefault="00000000">
    <w:pPr>
      <w:spacing w:after="0" w:line="259" w:lineRule="auto"/>
      <w:ind w:left="0" w:right="-612"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3EEBB29F" w14:textId="77777777" w:rsidR="0021274A" w:rsidRDefault="00000000">
    <w:pPr>
      <w:spacing w:after="0" w:line="259" w:lineRule="auto"/>
      <w:ind w:left="-612"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2F9C"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B3D6F1E" wp14:editId="3EDCB27B">
              <wp:simplePos x="0" y="0"/>
              <wp:positionH relativeFrom="page">
                <wp:posOffset>576000</wp:posOffset>
              </wp:positionH>
              <wp:positionV relativeFrom="page">
                <wp:posOffset>10162800</wp:posOffset>
              </wp:positionV>
              <wp:extent cx="6408001" cy="4445"/>
              <wp:effectExtent l="0" t="0" r="0" b="0"/>
              <wp:wrapSquare wrapText="bothSides"/>
              <wp:docPr id="16572" name="Group 16572"/>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73" name="Shape 16573"/>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72" style="width:504.567pt;height:0.35pt;position:absolute;mso-position-horizontal-relative:page;mso-position-horizontal:absolute;margin-left:45.3543pt;mso-position-vertical-relative:page;margin-top:800.22pt;" coordsize="64080,44">
              <v:shape id="Shape 16573"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9E76A95"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4DF0BA15"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A5D6"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3B7F7B2" wp14:editId="33A6276E">
              <wp:simplePos x="0" y="0"/>
              <wp:positionH relativeFrom="page">
                <wp:posOffset>576000</wp:posOffset>
              </wp:positionH>
              <wp:positionV relativeFrom="page">
                <wp:posOffset>10162800</wp:posOffset>
              </wp:positionV>
              <wp:extent cx="6408001" cy="4445"/>
              <wp:effectExtent l="0" t="0" r="0" b="0"/>
              <wp:wrapSquare wrapText="bothSides"/>
              <wp:docPr id="16550" name="Group 16550"/>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51" name="Shape 16551"/>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50" style="width:504.567pt;height:0.35pt;position:absolute;mso-position-horizontal-relative:page;mso-position-horizontal:absolute;margin-left:45.3543pt;mso-position-vertical-relative:page;margin-top:800.22pt;" coordsize="64080,44">
              <v:shape id="Shape 16551"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C00B6D1"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527252FC"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0C5A" w14:textId="77777777" w:rsidR="0021274A" w:rsidRDefault="00000000">
    <w:pPr>
      <w:spacing w:after="0" w:line="259" w:lineRule="auto"/>
      <w:ind w:left="-85"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843708B" wp14:editId="1E414636">
              <wp:simplePos x="0" y="0"/>
              <wp:positionH relativeFrom="page">
                <wp:posOffset>576000</wp:posOffset>
              </wp:positionH>
              <wp:positionV relativeFrom="page">
                <wp:posOffset>10162800</wp:posOffset>
              </wp:positionV>
              <wp:extent cx="6408001" cy="4445"/>
              <wp:effectExtent l="0" t="0" r="0" b="0"/>
              <wp:wrapSquare wrapText="bothSides"/>
              <wp:docPr id="16528" name="Group 16528"/>
              <wp:cNvGraphicFramePr/>
              <a:graphic xmlns:a="http://schemas.openxmlformats.org/drawingml/2006/main">
                <a:graphicData uri="http://schemas.microsoft.com/office/word/2010/wordprocessingGroup">
                  <wpg:wgp>
                    <wpg:cNvGrpSpPr/>
                    <wpg:grpSpPr>
                      <a:xfrm>
                        <a:off x="0" y="0"/>
                        <a:ext cx="6408001" cy="4445"/>
                        <a:chOff x="0" y="0"/>
                        <a:chExt cx="6408001" cy="4445"/>
                      </a:xfrm>
                    </wpg:grpSpPr>
                    <wps:wsp>
                      <wps:cNvPr id="16529" name="Shape 16529"/>
                      <wps:cNvSpPr/>
                      <wps:spPr>
                        <a:xfrm>
                          <a:off x="0" y="0"/>
                          <a:ext cx="6408001" cy="0"/>
                        </a:xfrm>
                        <a:custGeom>
                          <a:avLst/>
                          <a:gdLst/>
                          <a:ahLst/>
                          <a:cxnLst/>
                          <a:rect l="0" t="0" r="0" b="0"/>
                          <a:pathLst>
                            <a:path w="6408001">
                              <a:moveTo>
                                <a:pt x="0" y="0"/>
                              </a:moveTo>
                              <a:lnTo>
                                <a:pt x="6408001" y="0"/>
                              </a:lnTo>
                            </a:path>
                          </a:pathLst>
                        </a:custGeom>
                        <a:ln w="4445" cap="flat">
                          <a:miter lim="127000"/>
                        </a:ln>
                      </wps:spPr>
                      <wps:style>
                        <a:lnRef idx="1">
                          <a:srgbClr val="B8C2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28" style="width:504.567pt;height:0.35pt;position:absolute;mso-position-horizontal-relative:page;mso-position-horizontal:absolute;margin-left:45.3543pt;mso-position-vertical-relative:page;margin-top:800.22pt;" coordsize="64080,44">
              <v:shape id="Shape 16529" style="position:absolute;width:64080;height:0;left:0;top:0;" coordsize="6408001,0" path="m0,0l6408001,0">
                <v:stroke weight="0.35pt" endcap="flat" joinstyle="miter" miterlimit="10" on="true" color="#b8c2cc"/>
                <v:fill on="false" color="#000000" opacity="0"/>
              </v:shape>
              <w10:wrap type="square"/>
            </v:group>
          </w:pict>
        </mc:Fallback>
      </mc:AlternateContent>
    </w:r>
    <w:fldSimple w:instr=" NUMPAGES   \* MERGEFORMAT ">
      <w:r w:rsidR="0021274A">
        <w:rPr>
          <w:rFonts w:ascii="Arial" w:eastAsia="Arial" w:hAnsi="Arial" w:cs="Arial"/>
          <w:b/>
          <w:color w:val="17365D"/>
          <w:sz w:val="11"/>
        </w:rPr>
        <w:t>6</w:t>
      </w:r>
    </w:fldSimple>
    <w:r>
      <w:rPr>
        <w:rFonts w:ascii="Arial" w:eastAsia="Arial" w:hAnsi="Arial" w:cs="Arial"/>
        <w:b/>
        <w:color w:val="17365D"/>
        <w:sz w:val="11"/>
      </w:rPr>
      <w:t>th International Data Science Olympiad (IDSOL 2026) - Solution Architecture Design with Data Science and AI</w:t>
    </w:r>
  </w:p>
  <w:p w14:paraId="42929B3B" w14:textId="77777777" w:rsidR="0021274A" w:rsidRDefault="00000000">
    <w:pPr>
      <w:spacing w:after="0" w:line="259" w:lineRule="auto"/>
      <w:ind w:left="0" w:right="-85" w:firstLine="0"/>
      <w:jc w:val="right"/>
    </w:pPr>
    <w:r>
      <w:rPr>
        <w:rFonts w:ascii="Arial" w:eastAsia="Arial" w:hAnsi="Arial" w:cs="Arial"/>
        <w:b/>
        <w:sz w:val="12"/>
      </w:rPr>
      <w:t xml:space="preserve">WHITEPAPER  |  </w:t>
    </w:r>
    <w:r>
      <w:fldChar w:fldCharType="begin"/>
    </w:r>
    <w:r>
      <w:instrText xml:space="preserve"> PAGE   \* MERGEFORMAT </w:instrText>
    </w:r>
    <w:r>
      <w:fldChar w:fldCharType="separate"/>
    </w:r>
    <w:r>
      <w:rPr>
        <w:rFonts w:ascii="Arial" w:eastAsia="Arial" w:hAnsi="Arial" w:cs="Arial"/>
        <w:b/>
        <w:sz w:val="12"/>
      </w:rPr>
      <w:t>1</w:t>
    </w:r>
    <w:r>
      <w:rPr>
        <w:rFonts w:ascii="Arial" w:eastAsia="Arial" w:hAnsi="Arial" w:cs="Arial"/>
        <w:b/>
        <w:sz w:val="12"/>
      </w:rPr>
      <w:fldChar w:fldCharType="end"/>
    </w:r>
  </w:p>
  <w:p w14:paraId="0D5A0BAA" w14:textId="77777777" w:rsidR="0021274A" w:rsidRDefault="00000000">
    <w:pPr>
      <w:spacing w:after="0" w:line="259" w:lineRule="auto"/>
      <w:ind w:left="-85" w:firstLine="0"/>
      <w:jc w:val="left"/>
    </w:pPr>
    <w:r>
      <w:rPr>
        <w:rFonts w:ascii="Arial" w:eastAsia="Arial" w:hAnsi="Arial" w:cs="Arial"/>
        <w:color w:val="4B5563"/>
        <w:sz w:val="10"/>
      </w:rPr>
      <w:t>Chainsilience AI project document. Scenario outputs are illustrative unless explicitly identified as measured results.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63B7" w14:textId="77777777" w:rsidR="00084CCE" w:rsidRDefault="00084CCE">
      <w:pPr>
        <w:spacing w:after="0" w:line="240" w:lineRule="auto"/>
      </w:pPr>
      <w:r>
        <w:separator/>
      </w:r>
    </w:p>
  </w:footnote>
  <w:footnote w:type="continuationSeparator" w:id="0">
    <w:p w14:paraId="0418FCE8" w14:textId="77777777" w:rsidR="00084CCE" w:rsidRDefault="00084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57B6" w14:textId="77777777" w:rsidR="0021274A" w:rsidRDefault="0021274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8789" w14:textId="77777777" w:rsidR="0021274A" w:rsidRDefault="0021274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BAB8" w14:textId="77777777" w:rsidR="0021274A" w:rsidRDefault="0021274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FBF7" w14:textId="77777777" w:rsidR="0021274A" w:rsidRDefault="00000000">
    <w:pPr>
      <w:spacing w:after="0" w:line="259" w:lineRule="auto"/>
      <w:ind w:left="0" w:firstLine="0"/>
      <w:jc w:val="left"/>
    </w:pPr>
    <w:r>
      <w:rPr>
        <w:b/>
        <w:i/>
      </w:rPr>
      <w:t>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48A6" w14:textId="77777777" w:rsidR="0021274A" w:rsidRDefault="00000000">
    <w:pPr>
      <w:spacing w:after="0" w:line="259" w:lineRule="auto"/>
      <w:ind w:left="0" w:firstLine="0"/>
      <w:jc w:val="left"/>
    </w:pPr>
    <w:r>
      <w:rPr>
        <w:b/>
        <w:i/>
      </w:rPr>
      <w:t>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849D" w14:textId="77777777" w:rsidR="0021274A" w:rsidRDefault="00000000">
    <w:pPr>
      <w:spacing w:after="0" w:line="259" w:lineRule="auto"/>
      <w:ind w:left="0" w:firstLine="0"/>
      <w:jc w:val="left"/>
    </w:pPr>
    <w:r>
      <w:rPr>
        <w:b/>
        <w:i/>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013"/>
    <w:multiLevelType w:val="hybridMultilevel"/>
    <w:tmpl w:val="FF46B6BC"/>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FCF3125"/>
    <w:multiLevelType w:val="hybridMultilevel"/>
    <w:tmpl w:val="4CBC43F6"/>
    <w:lvl w:ilvl="0" w:tplc="8BD611A2">
      <w:start w:val="9"/>
      <w:numFmt w:val="decimal"/>
      <w:lvlText w:val="[%1]"/>
      <w:lvlJc w:val="left"/>
      <w:pPr>
        <w:ind w:left="243"/>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1" w:tplc="DFFC7506">
      <w:start w:val="1"/>
      <w:numFmt w:val="lowerLetter"/>
      <w:lvlText w:val="%2"/>
      <w:lvlJc w:val="left"/>
      <w:pPr>
        <w:ind w:left="10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2" w:tplc="F7226F8A">
      <w:start w:val="1"/>
      <w:numFmt w:val="lowerRoman"/>
      <w:lvlText w:val="%3"/>
      <w:lvlJc w:val="left"/>
      <w:pPr>
        <w:ind w:left="18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3" w:tplc="68A85502">
      <w:start w:val="1"/>
      <w:numFmt w:val="decimal"/>
      <w:lvlText w:val="%4"/>
      <w:lvlJc w:val="left"/>
      <w:pPr>
        <w:ind w:left="25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4" w:tplc="8C0E9E1A">
      <w:start w:val="1"/>
      <w:numFmt w:val="lowerLetter"/>
      <w:lvlText w:val="%5"/>
      <w:lvlJc w:val="left"/>
      <w:pPr>
        <w:ind w:left="324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5" w:tplc="D812A3DE">
      <w:start w:val="1"/>
      <w:numFmt w:val="lowerRoman"/>
      <w:lvlText w:val="%6"/>
      <w:lvlJc w:val="left"/>
      <w:pPr>
        <w:ind w:left="396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6" w:tplc="E7A0A820">
      <w:start w:val="1"/>
      <w:numFmt w:val="decimal"/>
      <w:lvlText w:val="%7"/>
      <w:lvlJc w:val="left"/>
      <w:pPr>
        <w:ind w:left="46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7" w:tplc="7B3AD81E">
      <w:start w:val="1"/>
      <w:numFmt w:val="lowerLetter"/>
      <w:lvlText w:val="%8"/>
      <w:lvlJc w:val="left"/>
      <w:pPr>
        <w:ind w:left="54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8" w:tplc="6FB264A4">
      <w:start w:val="1"/>
      <w:numFmt w:val="lowerRoman"/>
      <w:lvlText w:val="%9"/>
      <w:lvlJc w:val="left"/>
      <w:pPr>
        <w:ind w:left="61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abstractNum>
  <w:abstractNum w:abstractNumId="2" w15:restartNumberingAfterBreak="0">
    <w:nsid w:val="32330925"/>
    <w:multiLevelType w:val="hybridMultilevel"/>
    <w:tmpl w:val="EDE27DDE"/>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32AA5255"/>
    <w:multiLevelType w:val="hybridMultilevel"/>
    <w:tmpl w:val="55787538"/>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36E23AC4"/>
    <w:multiLevelType w:val="hybridMultilevel"/>
    <w:tmpl w:val="709224C4"/>
    <w:lvl w:ilvl="0" w:tplc="DFD80582">
      <w:start w:val="1"/>
      <w:numFmt w:val="decimal"/>
      <w:lvlText w:val="[%1]"/>
      <w:lvlJc w:val="left"/>
      <w:pPr>
        <w:ind w:left="1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1" w:tplc="A61CEE12">
      <w:start w:val="1"/>
      <w:numFmt w:val="lowerLetter"/>
      <w:lvlText w:val="%2"/>
      <w:lvlJc w:val="left"/>
      <w:pPr>
        <w:ind w:left="10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2" w:tplc="C24C6286">
      <w:start w:val="1"/>
      <w:numFmt w:val="lowerRoman"/>
      <w:lvlText w:val="%3"/>
      <w:lvlJc w:val="left"/>
      <w:pPr>
        <w:ind w:left="18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3" w:tplc="04E64BD0">
      <w:start w:val="1"/>
      <w:numFmt w:val="decimal"/>
      <w:lvlText w:val="%4"/>
      <w:lvlJc w:val="left"/>
      <w:pPr>
        <w:ind w:left="25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4" w:tplc="FE768D52">
      <w:start w:val="1"/>
      <w:numFmt w:val="lowerLetter"/>
      <w:lvlText w:val="%5"/>
      <w:lvlJc w:val="left"/>
      <w:pPr>
        <w:ind w:left="324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5" w:tplc="0AA01308">
      <w:start w:val="1"/>
      <w:numFmt w:val="lowerRoman"/>
      <w:lvlText w:val="%6"/>
      <w:lvlJc w:val="left"/>
      <w:pPr>
        <w:ind w:left="396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6" w:tplc="66682E7C">
      <w:start w:val="1"/>
      <w:numFmt w:val="decimal"/>
      <w:lvlText w:val="%7"/>
      <w:lvlJc w:val="left"/>
      <w:pPr>
        <w:ind w:left="468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7" w:tplc="A9E400DA">
      <w:start w:val="1"/>
      <w:numFmt w:val="lowerLetter"/>
      <w:lvlText w:val="%8"/>
      <w:lvlJc w:val="left"/>
      <w:pPr>
        <w:ind w:left="540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lvl w:ilvl="8" w:tplc="F24E3BBA">
      <w:start w:val="1"/>
      <w:numFmt w:val="lowerRoman"/>
      <w:lvlText w:val="%9"/>
      <w:lvlJc w:val="left"/>
      <w:pPr>
        <w:ind w:left="6120"/>
      </w:pPr>
      <w:rPr>
        <w:rFonts w:ascii="Times New Roman" w:eastAsia="Times New Roman" w:hAnsi="Times New Roman" w:cs="Times New Roman"/>
        <w:b w:val="0"/>
        <w:i w:val="0"/>
        <w:strike w:val="0"/>
        <w:dstrike w:val="0"/>
        <w:color w:val="111111"/>
        <w:sz w:val="13"/>
        <w:szCs w:val="13"/>
        <w:u w:val="none" w:color="000000"/>
        <w:bdr w:val="none" w:sz="0" w:space="0" w:color="auto"/>
        <w:shd w:val="clear" w:color="auto" w:fill="auto"/>
        <w:vertAlign w:val="baseline"/>
      </w:rPr>
    </w:lvl>
  </w:abstractNum>
  <w:abstractNum w:abstractNumId="5" w15:restartNumberingAfterBreak="0">
    <w:nsid w:val="52CC2DD8"/>
    <w:multiLevelType w:val="hybridMultilevel"/>
    <w:tmpl w:val="21F8AF4E"/>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6E2853DB"/>
    <w:multiLevelType w:val="hybridMultilevel"/>
    <w:tmpl w:val="852439AA"/>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529178841">
    <w:abstractNumId w:val="4"/>
  </w:num>
  <w:num w:numId="2" w16cid:durableId="15621076">
    <w:abstractNumId w:val="1"/>
  </w:num>
  <w:num w:numId="3" w16cid:durableId="1139610668">
    <w:abstractNumId w:val="5"/>
  </w:num>
  <w:num w:numId="4" w16cid:durableId="2124878805">
    <w:abstractNumId w:val="0"/>
  </w:num>
  <w:num w:numId="5" w16cid:durableId="881668160">
    <w:abstractNumId w:val="6"/>
  </w:num>
  <w:num w:numId="6" w16cid:durableId="1241478756">
    <w:abstractNumId w:val="3"/>
  </w:num>
  <w:num w:numId="7" w16cid:durableId="1678728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4A"/>
    <w:rsid w:val="000155FD"/>
    <w:rsid w:val="00084CCE"/>
    <w:rsid w:val="00136428"/>
    <w:rsid w:val="00140443"/>
    <w:rsid w:val="00144D08"/>
    <w:rsid w:val="00190C38"/>
    <w:rsid w:val="001B171E"/>
    <w:rsid w:val="0021274A"/>
    <w:rsid w:val="003800CA"/>
    <w:rsid w:val="003C08E8"/>
    <w:rsid w:val="004566C5"/>
    <w:rsid w:val="004E0D4F"/>
    <w:rsid w:val="004E39BD"/>
    <w:rsid w:val="00541931"/>
    <w:rsid w:val="005B3F08"/>
    <w:rsid w:val="005F035A"/>
    <w:rsid w:val="00604029"/>
    <w:rsid w:val="00661B0C"/>
    <w:rsid w:val="006C3649"/>
    <w:rsid w:val="00734DD9"/>
    <w:rsid w:val="007D200E"/>
    <w:rsid w:val="007F06F1"/>
    <w:rsid w:val="0085246E"/>
    <w:rsid w:val="008634D3"/>
    <w:rsid w:val="008A30B7"/>
    <w:rsid w:val="008A433C"/>
    <w:rsid w:val="00901205"/>
    <w:rsid w:val="00961F59"/>
    <w:rsid w:val="009D33F9"/>
    <w:rsid w:val="00A25118"/>
    <w:rsid w:val="00A2700A"/>
    <w:rsid w:val="00AF26D7"/>
    <w:rsid w:val="00C30D13"/>
    <w:rsid w:val="00C37581"/>
    <w:rsid w:val="00C60D3A"/>
    <w:rsid w:val="00D71D02"/>
    <w:rsid w:val="00EA67FC"/>
    <w:rsid w:val="00EF4C16"/>
    <w:rsid w:val="00F02E9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39E3"/>
  <w15:docId w15:val="{3B72C62C-406A-4FBB-A59B-2D5859EC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2" w:lineRule="auto"/>
      <w:ind w:left="10" w:hanging="10"/>
      <w:jc w:val="both"/>
    </w:pPr>
    <w:rPr>
      <w:rFonts w:ascii="Times New Roman" w:eastAsia="Times New Roman" w:hAnsi="Times New Roman" w:cs="Times New Roman"/>
      <w:color w:val="111111"/>
      <w:sz w:val="17"/>
    </w:rPr>
  </w:style>
  <w:style w:type="paragraph" w:styleId="Heading1">
    <w:name w:val="heading 1"/>
    <w:next w:val="Normal"/>
    <w:link w:val="Heading1Char"/>
    <w:uiPriority w:val="9"/>
    <w:qFormat/>
    <w:pPr>
      <w:keepNext/>
      <w:keepLines/>
      <w:spacing w:after="75" w:line="259" w:lineRule="auto"/>
      <w:ind w:left="10" w:hanging="10"/>
      <w:jc w:val="center"/>
      <w:outlineLvl w:val="0"/>
    </w:pPr>
    <w:rPr>
      <w:rFonts w:ascii="Times New Roman" w:eastAsia="Times New Roman" w:hAnsi="Times New Roman" w:cs="Times New Roman"/>
      <w:color w:val="111111"/>
      <w:sz w:val="18"/>
    </w:rPr>
  </w:style>
  <w:style w:type="paragraph" w:styleId="Heading2">
    <w:name w:val="heading 2"/>
    <w:next w:val="Normal"/>
    <w:link w:val="Heading2Char"/>
    <w:uiPriority w:val="9"/>
    <w:unhideWhenUsed/>
    <w:qFormat/>
    <w:pPr>
      <w:keepNext/>
      <w:keepLines/>
      <w:spacing w:after="45" w:line="259" w:lineRule="auto"/>
      <w:ind w:left="10" w:hanging="10"/>
      <w:outlineLvl w:val="1"/>
    </w:pPr>
    <w:rPr>
      <w:rFonts w:ascii="Times New Roman" w:eastAsia="Times New Roman" w:hAnsi="Times New Roman" w:cs="Times New Roman"/>
      <w:i/>
      <w:color w:val="111111"/>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11111"/>
      <w:sz w:val="17"/>
    </w:rPr>
  </w:style>
  <w:style w:type="character" w:customStyle="1" w:styleId="Heading1Char">
    <w:name w:val="Heading 1 Char"/>
    <w:link w:val="Heading1"/>
    <w:uiPriority w:val="9"/>
    <w:rPr>
      <w:rFonts w:ascii="Times New Roman" w:eastAsia="Times New Roman" w:hAnsi="Times New Roman" w:cs="Times New Roman"/>
      <w:color w:val="111111"/>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04029"/>
    <w:rPr>
      <w:color w:val="0563C1" w:themeColor="hyperlink"/>
      <w:u w:val="single"/>
    </w:rPr>
  </w:style>
  <w:style w:type="character" w:styleId="UnresolvedMention">
    <w:name w:val="Unresolved Mention"/>
    <w:basedOn w:val="DefaultParagraphFont"/>
    <w:uiPriority w:val="99"/>
    <w:semiHidden/>
    <w:unhideWhenUsed/>
    <w:rsid w:val="0060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aokexin5632@gmail.com" TargetMode="Externa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mailto:ansonho31@gmail.com"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drew.li3056@gmail.com"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hyperlink" Target="mailto:mark.xia.mo@gmail.com" TargetMode="Externa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mailto:Lengg0701@gmail.com" TargetMode="Externa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7</Pages>
  <Words>4915</Words>
  <Characters>28022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Chainsilience AI - IDSOL 2026 Whitepaper</vt:lpstr>
    </vt:vector>
  </TitlesOfParts>
  <Company/>
  <LinksUpToDate>false</LinksUpToDate>
  <CharactersWithSpaces>32872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Chainsilience AI - IDSOL 2026 Whitepaper</dc:title>
  <dc:subject>Agentic AI, digital twins, and supply-chain disruption resilience</dc:subject>
  <dc:creator>Chainsilience AI Project Team</dc:creator>
  <cp:keywords/>
  <cp:lastModifiedBy>Anson Ho</cp:lastModifiedBy>
  <cp:revision>17</cp:revision>
  <dcterms:created xsi:type="dcterms:W3CDTF">2026-07-20T16:17:00Z</dcterms:created>
  <dcterms:modified xsi:type="dcterms:W3CDTF">2026-07-21T07:04:00Z</dcterms:modified>
</cp:coreProperties>
</file>