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rPr>
          <w:b w:val="1"/>
          <w:bCs w:val="1"/>
          <w:color w:val="073763"/>
          <w:sz w:val="54"/>
          <w:szCs w:val="54"/>
        </w:rPr>
      </w:pPr>
      <w:bookmarkStart w:colFirst="0" w:colLast="0" w:name="_pm7l9tcy5jcr" w:id="0"/>
      <w:bookmarkEnd w:id="0"/>
      <w:r w:rsidDel="00000000" w:rsidR="00000000" w:rsidRPr="00000000">
        <w:rPr>
          <w:b w:val="1"/>
          <w:bCs w:val="1"/>
          <w:color w:val="073763"/>
          <w:sz w:val="54"/>
          <w:szCs w:val="54"/>
          <w:rtl w:val="0"/>
        </w:rPr>
        <w:t xml:space="preserve">Memoria de primera propuesta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rFonts w:ascii="Oswald Light" w:cs="Oswald Light" w:eastAsia="Oswald Light" w:hAnsi="Oswald Light"/>
          <w:color w:val="073763"/>
          <w:sz w:val="24"/>
          <w:szCs w:val="24"/>
        </w:rPr>
      </w:pPr>
      <w:bookmarkStart w:colFirst="0" w:colLast="0" w:name="_gg6ghbherezg" w:id="1"/>
      <w:bookmarkEnd w:id="1"/>
      <w:r w:rsidDel="00000000" w:rsidR="00000000" w:rsidRPr="00000000">
        <w:rPr>
          <w:rFonts w:ascii="Oswald Light" w:cs="Oswald Light" w:eastAsia="Oswald Light" w:hAnsi="Oswald Light"/>
          <w:color w:val="073763"/>
          <w:sz w:val="24"/>
          <w:szCs w:val="24"/>
          <w:rtl w:val="0"/>
        </w:rPr>
        <w:t xml:space="preserve">Noelia Freire Amarelo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4"/>
        </w:numPr>
        <w:rPr>
          <w:rFonts w:ascii="Oswald Light" w:cs="Oswald Light" w:eastAsia="Oswald Light" w:hAnsi="Oswald Light"/>
          <w:color w:val="073763"/>
          <w:sz w:val="36"/>
          <w:szCs w:val="36"/>
        </w:rPr>
      </w:pPr>
      <w:bookmarkStart w:colFirst="0" w:colLast="0" w:name="_ca4igy9584fm" w:id="2"/>
      <w:bookmarkEnd w:id="2"/>
      <w:r w:rsidDel="00000000" w:rsidR="00000000" w:rsidRPr="00000000">
        <w:rPr>
          <w:rtl w:val="0"/>
        </w:rPr>
        <w:t xml:space="preserve">Título del Proyecto y Objetivos Genéricos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CookShare:</w:t>
      </w:r>
      <w:r w:rsidDel="00000000" w:rsidR="00000000" w:rsidRPr="00000000">
        <w:rPr>
          <w:rtl w:val="0"/>
        </w:rPr>
        <w:t xml:space="preserve"> Ecosistema Multiplataforma para la Gestión de Recetas y Compra Inteligente.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Objetivos: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Desarrollar una aplicación móvil que facilite la organización de la alimentación diaria mediante un sistema social de recetas.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Implementar un algoritmo de cálculo dinámico para el escalado de ingredientes según el número de comensales.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Automatizar la generación de listas de la compra a partir de recetas seleccionadas, integrando un control de inventario básico.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Garantizar la persistencia y seguridad de los datos mediante una arquitectura de microservicios lógicos en el servidor.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4"/>
        </w:numPr>
        <w:ind w:left="720" w:hanging="360"/>
        <w:rPr/>
      </w:pPr>
      <w:bookmarkStart w:colFirst="0" w:colLast="0" w:name="_czckyczglyy5" w:id="3"/>
      <w:bookmarkEnd w:id="3"/>
      <w:r w:rsidDel="00000000" w:rsidR="00000000" w:rsidRPr="00000000">
        <w:rPr>
          <w:rtl w:val="0"/>
        </w:rPr>
        <w:t xml:space="preserve">Formato de la Documentación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83.46456692913375" w:firstLine="570"/>
        <w:jc w:val="both"/>
        <w:rPr/>
      </w:pPr>
      <w:r w:rsidDel="00000000" w:rsidR="00000000" w:rsidRPr="00000000">
        <w:rPr>
          <w:rtl w:val="0"/>
        </w:rPr>
        <w:t xml:space="preserve"> La documentación se redactará siguiendo los estándares del centro, utilizando </w:t>
      </w:r>
      <w:r w:rsidDel="00000000" w:rsidR="00000000" w:rsidRPr="00000000">
        <w:rPr>
          <w:b w:val="1"/>
          <w:bCs w:val="1"/>
          <w:rtl w:val="0"/>
        </w:rPr>
        <w:t xml:space="preserve">Markdown </w:t>
      </w:r>
      <w:r w:rsidDel="00000000" w:rsidR="00000000" w:rsidRPr="00000000">
        <w:rPr>
          <w:rtl w:val="0"/>
        </w:rPr>
        <w:t xml:space="preserve">para la documentación técnica rápida y </w:t>
      </w:r>
      <w:r w:rsidDel="00000000" w:rsidR="00000000" w:rsidRPr="00000000">
        <w:rPr>
          <w:b w:val="1"/>
          <w:bCs w:val="1"/>
          <w:rtl w:val="0"/>
        </w:rPr>
        <w:t xml:space="preserve">PDF </w:t>
      </w:r>
      <w:r w:rsidDel="00000000" w:rsidR="00000000" w:rsidRPr="00000000">
        <w:rPr>
          <w:rtl w:val="0"/>
        </w:rPr>
        <w:t xml:space="preserve">para la memoria final.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4"/>
        </w:numPr>
        <w:ind w:left="720" w:hanging="360"/>
        <w:rPr/>
      </w:pPr>
      <w:bookmarkStart w:colFirst="0" w:colLast="0" w:name="_j0ara0cg07of" w:id="4"/>
      <w:bookmarkEnd w:id="4"/>
      <w:r w:rsidDel="00000000" w:rsidR="00000000" w:rsidRPr="00000000">
        <w:rPr>
          <w:rtl w:val="0"/>
        </w:rPr>
        <w:t xml:space="preserve">Propuesta de Tecnologías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Frontend (Móvil):</w:t>
      </w:r>
      <w:r w:rsidDel="00000000" w:rsidR="00000000" w:rsidRPr="00000000">
        <w:rPr>
          <w:i w:val="1"/>
          <w:iCs w:val="1"/>
          <w:rtl w:val="0"/>
        </w:rPr>
        <w:t xml:space="preserve"> Flutter (Dart).</w:t>
      </w:r>
      <w:r w:rsidDel="00000000" w:rsidR="00000000" w:rsidRPr="00000000">
        <w:rPr>
          <w:rtl w:val="0"/>
        </w:rPr>
        <w:t xml:space="preserve"> Elegido por su capacidad de crear interfaces fluidas y reactivas con un solo código base para Android e iOS.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Backend (Servidor):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Java 21 con Spring Boot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rtl w:val="0"/>
        </w:rPr>
        <w:t xml:space="preserve"> Es el estándar de la industria; usaremos </w:t>
      </w:r>
      <w:r w:rsidDel="00000000" w:rsidR="00000000" w:rsidRPr="00000000">
        <w:rPr>
          <w:i w:val="1"/>
          <w:iCs w:val="1"/>
          <w:rtl w:val="0"/>
        </w:rPr>
        <w:t xml:space="preserve">Spring Data JPA</w:t>
      </w:r>
      <w:r w:rsidDel="00000000" w:rsidR="00000000" w:rsidRPr="00000000">
        <w:rPr>
          <w:rtl w:val="0"/>
        </w:rPr>
        <w:t xml:space="preserve"> para la persistencia y</w:t>
      </w:r>
      <w:r w:rsidDel="00000000" w:rsidR="00000000" w:rsidRPr="00000000">
        <w:rPr>
          <w:i w:val="1"/>
          <w:iCs w:val="1"/>
          <w:rtl w:val="0"/>
        </w:rPr>
        <w:t xml:space="preserve"> Spring Security</w:t>
      </w:r>
      <w:r w:rsidDel="00000000" w:rsidR="00000000" w:rsidRPr="00000000">
        <w:rPr>
          <w:rtl w:val="0"/>
        </w:rPr>
        <w:t xml:space="preserve"> para el control de acceso.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MySQL.</w:t>
      </w:r>
      <w:r w:rsidDel="00000000" w:rsidR="00000000" w:rsidRPr="00000000">
        <w:rPr>
          <w:rtl w:val="0"/>
        </w:rPr>
        <w:t xml:space="preserve"> Para gestionar un modelo relacional complejo con integridad referencial garantizada.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API:</w:t>
      </w:r>
      <w:r w:rsidDel="00000000" w:rsidR="00000000" w:rsidRPr="00000000">
        <w:rPr>
          <w:rtl w:val="0"/>
        </w:rPr>
        <w:t xml:space="preserve"> Arquitectura </w:t>
      </w:r>
      <w:r w:rsidDel="00000000" w:rsidR="00000000" w:rsidRPr="00000000">
        <w:rPr>
          <w:i w:val="1"/>
          <w:iCs w:val="1"/>
          <w:rtl w:val="0"/>
        </w:rPr>
        <w:t xml:space="preserve">RESTful </w:t>
      </w:r>
      <w:r w:rsidDel="00000000" w:rsidR="00000000" w:rsidRPr="00000000">
        <w:rPr>
          <w:rtl w:val="0"/>
        </w:rPr>
        <w:t xml:space="preserve">documentada con </w:t>
      </w:r>
      <w:r w:rsidDel="00000000" w:rsidR="00000000" w:rsidRPr="00000000">
        <w:rPr>
          <w:i w:val="1"/>
          <w:iCs w:val="1"/>
          <w:rtl w:val="0"/>
        </w:rPr>
        <w:t xml:space="preserve">Swagger/OpenAPI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swald Light">
    <w:embedRegular w:fontKey="{00000000-0000-0000-0000-000000000000}" r:id="rId1" w:subsetted="0"/>
    <w:embedBold w:fontKey="{00000000-0000-0000-0000-000000000000}" r:id="rId2" w:subsetted="0"/>
  </w:font>
  <w:font w:name="Oswa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line="276" w:lineRule="auto"/>
      <w:rPr/>
    </w:pPr>
    <w:r w:rsidDel="00000000" w:rsidR="00000000" w:rsidRPr="00000000">
      <w:rPr/>
      <w:drawing>
        <wp:inline distB="114300" distT="114300" distL="114300" distR="114300">
          <wp:extent cx="5731200" cy="7874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787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 w:hanging="360"/>
    </w:pPr>
    <w:rPr>
      <w:rFonts w:ascii="Oswald Light" w:cs="Oswald Light" w:eastAsia="Oswald Light" w:hAnsi="Oswald Light"/>
      <w:color w:val="07376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Oswald" w:cs="Oswald" w:eastAsia="Oswald" w:hAnsi="Oswal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Light-regular.ttf"/><Relationship Id="rId2" Type="http://schemas.openxmlformats.org/officeDocument/2006/relationships/font" Target="fonts/OswaldLight-bold.ttf"/><Relationship Id="rId3" Type="http://schemas.openxmlformats.org/officeDocument/2006/relationships/font" Target="fonts/Oswald-regular.ttf"/><Relationship Id="rId4" Type="http://schemas.openxmlformats.org/officeDocument/2006/relationships/font" Target="fonts/Oswa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