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D0722" w14:textId="40484C55" w:rsidR="00D25DA0" w:rsidRDefault="00D25DA0" w:rsidP="00D25DA0">
      <w:pPr>
        <w:pStyle w:val="2"/>
      </w:pPr>
      <w:r>
        <w:rPr>
          <w:rFonts w:hint="eastAsia"/>
        </w:rPr>
        <w:t>K</w:t>
      </w:r>
      <w:r>
        <w:t>ennedy</w:t>
      </w:r>
    </w:p>
    <w:p w14:paraId="27393B11" w14:textId="10523522" w:rsidR="003701CD" w:rsidRDefault="003701CD" w:rsidP="003701CD">
      <w:r>
        <w:t xml:space="preserve">The research of </w:t>
      </w:r>
      <w:r>
        <w:rPr>
          <w:rFonts w:hint="eastAsia"/>
        </w:rPr>
        <w:t>K</w:t>
      </w:r>
      <w:r>
        <w:t>ennedy (1997) inves</w:t>
      </w:r>
      <w:r>
        <w:rPr>
          <w:rFonts w:hint="eastAsia"/>
        </w:rPr>
        <w:t>t</w:t>
      </w:r>
      <w:r>
        <w:t>igates what the so-called gradable adjectives refer to as well as in what kind of constructions they appear, which is referred to as degree constructions in his paper. In this research, Kennedy combines semantics and syntax to reveal the essence of this largely discussed topic.</w:t>
      </w:r>
    </w:p>
    <w:p w14:paraId="60150765" w14:textId="77777777" w:rsidR="003701CD" w:rsidRDefault="003701CD" w:rsidP="003701CD"/>
    <w:p w14:paraId="61D8F08A" w14:textId="71CE2F94" w:rsidR="00461B99" w:rsidRPr="00133072" w:rsidRDefault="00461B99" w:rsidP="003701CD">
      <w:pPr>
        <w:rPr>
          <w:highlight w:val="yellow"/>
        </w:rPr>
      </w:pPr>
      <w:r>
        <w:t xml:space="preserve">As to the </w:t>
      </w:r>
      <w:r w:rsidR="00C526B1">
        <w:t>semantic interpretation</w:t>
      </w:r>
      <w:r>
        <w:t xml:space="preserve"> of gradable adjectives, there are two major </w:t>
      </w:r>
      <w:r w:rsidR="00F27873">
        <w:t xml:space="preserve">schools: (a) </w:t>
      </w:r>
      <w:r w:rsidRPr="009670CA">
        <w:t>scalar analys</w:t>
      </w:r>
      <w:r w:rsidR="00F27873">
        <w:t>e</w:t>
      </w:r>
      <w:r w:rsidRPr="009670CA">
        <w:t>s,</w:t>
      </w:r>
      <w:r>
        <w:rPr>
          <w:i/>
          <w:iCs/>
        </w:rPr>
        <w:t xml:space="preserve"> </w:t>
      </w:r>
      <w:r>
        <w:t xml:space="preserve">in which the set of scales </w:t>
      </w:r>
      <w:r w:rsidR="00F27873">
        <w:t xml:space="preserve">corresponding to </w:t>
      </w:r>
      <w:r w:rsidR="009A11A9">
        <w:t>a</w:t>
      </w:r>
      <w:r w:rsidR="00F27873">
        <w:t xml:space="preserve"> gradable adjective </w:t>
      </w:r>
      <w:r>
        <w:t>is compatible with the partial order</w:t>
      </w:r>
      <w:r w:rsidR="00F27873">
        <w:t>ing</w:t>
      </w:r>
      <w:r>
        <w:t xml:space="preserve"> relation </w:t>
      </w:r>
      <w:r w:rsidRPr="009670CA">
        <w:t>(</w:t>
      </w:r>
      <w:proofErr w:type="spellStart"/>
      <w:r w:rsidRPr="009670CA">
        <w:t>Cresswell</w:t>
      </w:r>
      <w:proofErr w:type="spellEnd"/>
      <w:r w:rsidRPr="009670CA">
        <w:t xml:space="preserve">, 1976; </w:t>
      </w:r>
      <w:proofErr w:type="spellStart"/>
      <w:r w:rsidRPr="009670CA">
        <w:t>Bierwisch</w:t>
      </w:r>
      <w:proofErr w:type="spellEnd"/>
      <w:r w:rsidRPr="009670CA">
        <w:t>, 1989)</w:t>
      </w:r>
      <w:r w:rsidR="00F27873">
        <w:t xml:space="preserve">; (b) </w:t>
      </w:r>
      <w:r w:rsidRPr="009670CA">
        <w:t>vague predicate analys</w:t>
      </w:r>
      <w:r w:rsidR="009A11A9">
        <w:t>e</w:t>
      </w:r>
      <w:r w:rsidRPr="009670CA">
        <w:t xml:space="preserve">s, </w:t>
      </w:r>
      <w:r>
        <w:t xml:space="preserve">in which the extensions of </w:t>
      </w:r>
      <w:r w:rsidRPr="009670CA">
        <w:t xml:space="preserve">gradable adjectives </w:t>
      </w:r>
      <w:r>
        <w:t>need to be determined according to the</w:t>
      </w:r>
      <w:r w:rsidRPr="009670CA">
        <w:t xml:space="preserve"> context </w:t>
      </w:r>
      <w:r w:rsidRPr="003701CD">
        <w:t>(McConnell-</w:t>
      </w:r>
      <w:proofErr w:type="spellStart"/>
      <w:r w:rsidRPr="003701CD">
        <w:t>Ginet</w:t>
      </w:r>
      <w:proofErr w:type="spellEnd"/>
      <w:r>
        <w:t xml:space="preserve">, </w:t>
      </w:r>
      <w:r w:rsidRPr="003701CD">
        <w:t>1973; Kamp</w:t>
      </w:r>
      <w:r>
        <w:t xml:space="preserve">, </w:t>
      </w:r>
      <w:r w:rsidRPr="003701CD">
        <w:t>1975; Klein</w:t>
      </w:r>
      <w:r>
        <w:t xml:space="preserve">, </w:t>
      </w:r>
      <w:r w:rsidRPr="003701CD">
        <w:t>1980)</w:t>
      </w:r>
      <w:r>
        <w:t xml:space="preserve">. Kennedy’s analysis falls into the </w:t>
      </w:r>
      <w:r w:rsidR="00534583">
        <w:t xml:space="preserve">general family </w:t>
      </w:r>
      <w:r>
        <w:t>of scalar analys</w:t>
      </w:r>
      <w:r w:rsidR="00534583">
        <w:t>e</w:t>
      </w:r>
      <w:r>
        <w:t>s</w:t>
      </w:r>
      <w:r w:rsidR="00133072">
        <w:t>.</w:t>
      </w:r>
    </w:p>
    <w:p w14:paraId="7FD15BE3" w14:textId="77777777" w:rsidR="00461B99" w:rsidRPr="00461B99" w:rsidRDefault="00461B99" w:rsidP="003701CD"/>
    <w:p w14:paraId="6205AA13" w14:textId="390CAED7" w:rsidR="00F27873" w:rsidRDefault="00C92234" w:rsidP="001636E3">
      <w:r>
        <w:t>However, Kennedy also make</w:t>
      </w:r>
      <w:r w:rsidR="00B560F3">
        <w:t xml:space="preserve">s </w:t>
      </w:r>
      <w:r w:rsidR="00711F41">
        <w:t>some revolution</w:t>
      </w:r>
      <w:r>
        <w:t xml:space="preserve"> to the c</w:t>
      </w:r>
      <w:r w:rsidR="00B560F3">
        <w:t>lassical scalar analysis</w:t>
      </w:r>
      <w:r w:rsidR="0036274B">
        <w:t xml:space="preserve">, particularly </w:t>
      </w:r>
      <w:r w:rsidR="00C86795">
        <w:t xml:space="preserve">as to the semantic type of gradable adjectives, as well as the </w:t>
      </w:r>
      <w:r w:rsidR="00E533A2">
        <w:t>interpretation of degrees.</w:t>
      </w:r>
    </w:p>
    <w:p w14:paraId="0B9423CC" w14:textId="77777777" w:rsidR="008D1D85" w:rsidRDefault="008D1D85" w:rsidP="001636E3"/>
    <w:p w14:paraId="5F2ECCEF" w14:textId="6C3CFCF7" w:rsidR="001174C8" w:rsidRDefault="001174C8" w:rsidP="001636E3">
      <w:r>
        <w:rPr>
          <w:rFonts w:hint="eastAsia"/>
        </w:rPr>
        <w:t>F</w:t>
      </w:r>
      <w:r>
        <w:t xml:space="preserve">irstly, </w:t>
      </w:r>
      <w:r w:rsidR="00861826">
        <w:t>classical scalar analyses cha</w:t>
      </w:r>
      <w:r w:rsidR="001B201C">
        <w:t>racterize</w:t>
      </w:r>
      <w:r w:rsidR="00B5513E">
        <w:t xml:space="preserve"> the core meaning of</w:t>
      </w:r>
      <w:r w:rsidR="001B201C">
        <w:t xml:space="preserve"> gradable adjectives as </w:t>
      </w:r>
      <w:r w:rsidR="00B5513E">
        <w:t xml:space="preserve">an </w:t>
      </w:r>
      <w:r w:rsidR="0040631A">
        <w:t>ordering relation</w:t>
      </w:r>
      <w:r w:rsidR="00B5513E">
        <w:t xml:space="preserve"> between </w:t>
      </w:r>
      <w:r w:rsidR="00F828BD">
        <w:t>the target and the degree</w:t>
      </w:r>
      <w:r w:rsidR="0040631A">
        <w:t>.</w:t>
      </w:r>
      <w:r w:rsidR="00451377">
        <w:t xml:space="preserve"> </w:t>
      </w:r>
      <w:r w:rsidR="00321EC0">
        <w:t>Most s</w:t>
      </w:r>
      <w:r w:rsidR="008F0FB5">
        <w:t xml:space="preserve">cholars </w:t>
      </w:r>
      <w:r w:rsidR="007F67AA">
        <w:t>employing</w:t>
      </w:r>
      <w:r w:rsidR="00321EC0">
        <w:t xml:space="preserve"> scalar approaches </w:t>
      </w:r>
      <w:r w:rsidR="008F0FB5">
        <w:t xml:space="preserve">also </w:t>
      </w:r>
      <w:r w:rsidR="00DC4A22">
        <w:t>believes</w:t>
      </w:r>
      <w:r w:rsidR="00522C8C">
        <w:t xml:space="preserve"> the free variable degree </w:t>
      </w:r>
      <w:r w:rsidR="008C2D79">
        <w:t>to be</w:t>
      </w:r>
      <w:r w:rsidR="00DC4A22">
        <w:t xml:space="preserve"> bound by a quantificational expression</w:t>
      </w:r>
      <w:r w:rsidR="00F8509B">
        <w:t xml:space="preserve"> (</w:t>
      </w:r>
      <w:proofErr w:type="spellStart"/>
      <w:r w:rsidR="00F8509B" w:rsidRPr="00F8509B">
        <w:t>Hellan</w:t>
      </w:r>
      <w:proofErr w:type="spellEnd"/>
      <w:r w:rsidR="00F8509B">
        <w:t xml:space="preserve">, </w:t>
      </w:r>
      <w:r w:rsidR="00F8509B" w:rsidRPr="00F8509B">
        <w:t>1981; Hoeksema</w:t>
      </w:r>
      <w:r w:rsidR="00F8509B">
        <w:t xml:space="preserve">, </w:t>
      </w:r>
      <w:r w:rsidR="00F8509B" w:rsidRPr="00F8509B">
        <w:t xml:space="preserve">1983; von </w:t>
      </w:r>
      <w:proofErr w:type="spellStart"/>
      <w:r w:rsidR="00F8509B" w:rsidRPr="00F8509B">
        <w:t>Stechow</w:t>
      </w:r>
      <w:proofErr w:type="spellEnd"/>
      <w:r w:rsidR="00F8509B">
        <w:t xml:space="preserve">, </w:t>
      </w:r>
      <w:r w:rsidR="00F8509B" w:rsidRPr="00F8509B">
        <w:t>1984a</w:t>
      </w:r>
      <w:r w:rsidR="00F8509B">
        <w:t>)</w:t>
      </w:r>
      <w:r w:rsidR="00DC4A22">
        <w:t>.</w:t>
      </w:r>
      <w:r w:rsidR="00395590">
        <w:t xml:space="preserve"> In contrast, Kennedy </w:t>
      </w:r>
      <w:r w:rsidR="001F7275">
        <w:t>assumes th</w:t>
      </w:r>
      <w:r w:rsidR="00395590">
        <w:t xml:space="preserve">at </w:t>
      </w:r>
      <w:r w:rsidR="001F7275">
        <w:t xml:space="preserve">gradable adjectives denote </w:t>
      </w:r>
      <w:r w:rsidR="009741FC">
        <w:t>measure function</w:t>
      </w:r>
      <w:r w:rsidR="00283959">
        <w:t>, giving rise to his</w:t>
      </w:r>
      <w:r w:rsidR="00CA2E46">
        <w:t xml:space="preserve"> non-quantificational analysis of degree constructions.</w:t>
      </w:r>
    </w:p>
    <w:p w14:paraId="039A4737" w14:textId="40C404A6" w:rsidR="00711F41" w:rsidRPr="00C92234" w:rsidRDefault="00711F41" w:rsidP="00C74EB3"/>
    <w:p w14:paraId="47DD54D7" w14:textId="147C5216" w:rsidR="00AE191D" w:rsidRDefault="00CA75F5">
      <w:r>
        <w:t xml:space="preserve">Kennedy identify </w:t>
      </w:r>
      <w:r w:rsidR="00E2667C">
        <w:t xml:space="preserve">three </w:t>
      </w:r>
      <w:r w:rsidR="00C74EB3">
        <w:t xml:space="preserve">semantic constituents in degree </w:t>
      </w:r>
      <w:r w:rsidR="005670A9">
        <w:t>constructions (</w:t>
      </w:r>
      <w:r w:rsidR="002863E7">
        <w:t>Russell, 1905</w:t>
      </w:r>
      <w:r w:rsidR="005670A9">
        <w:t>)</w:t>
      </w:r>
      <w:r w:rsidR="00E2667C">
        <w:t xml:space="preserve">: (a) a reference value </w:t>
      </w:r>
      <m:oMath>
        <m:r>
          <w:rPr>
            <w:rFonts w:ascii="Cambria Math" w:hAnsi="Cambria Math"/>
          </w:rPr>
          <m:t>G</m:t>
        </m:r>
        <m:d>
          <m:dPr>
            <m:ctrlPr>
              <w:rPr>
                <w:rFonts w:ascii="Cambria Math" w:hAnsi="Cambria Math"/>
                <w:i/>
              </w:rPr>
            </m:ctrlPr>
          </m:dPr>
          <m:e>
            <m:r>
              <w:rPr>
                <w:rFonts w:ascii="Cambria Math" w:hAnsi="Cambria Math"/>
              </w:rPr>
              <m:t>x</m:t>
            </m:r>
          </m:e>
        </m:d>
      </m:oMath>
      <w:r w:rsidR="00E2667C">
        <w:rPr>
          <w:rFonts w:hint="eastAsia"/>
        </w:rPr>
        <w:t>,</w:t>
      </w:r>
      <w:r w:rsidR="00E2667C">
        <w:t xml:space="preserve"> </w:t>
      </w:r>
      <w:r w:rsidR="00842D78">
        <w:t>ex</w:t>
      </w:r>
      <w:r w:rsidR="00842469">
        <w:t xml:space="preserve">pressing the projection from the target </w:t>
      </w:r>
      <m:oMath>
        <m:r>
          <w:rPr>
            <w:rFonts w:ascii="Cambria Math" w:hAnsi="Cambria Math"/>
          </w:rPr>
          <m:t>x</m:t>
        </m:r>
      </m:oMath>
      <w:r w:rsidR="00EE43F5">
        <w:t xml:space="preserve"> to the scale associated with the </w:t>
      </w:r>
      <w:r w:rsidR="006436AA">
        <w:t xml:space="preserve">gradable adjective </w:t>
      </w:r>
      <m:oMath>
        <m:r>
          <w:rPr>
            <w:rFonts w:ascii="Cambria Math" w:hAnsi="Cambria Math"/>
          </w:rPr>
          <m:t>G</m:t>
        </m:r>
      </m:oMath>
      <w:r w:rsidR="006436AA">
        <w:rPr>
          <w:rFonts w:hint="eastAsia"/>
        </w:rPr>
        <w:t>;</w:t>
      </w:r>
      <w:r w:rsidR="006436AA">
        <w:t xml:space="preserve"> (b)a s</w:t>
      </w:r>
      <w:r w:rsidR="00E2667C">
        <w:t xml:space="preserve">tandard value </w:t>
      </w:r>
      <m:oMath>
        <m:r>
          <w:rPr>
            <w:rFonts w:ascii="Cambria Math" w:hAnsi="Cambria Math"/>
          </w:rPr>
          <m:t>s</m:t>
        </m:r>
      </m:oMath>
      <w:r w:rsidR="00E2667C">
        <w:rPr>
          <w:rFonts w:hint="eastAsia"/>
        </w:rPr>
        <w:t>,</w:t>
      </w:r>
      <w:r w:rsidR="00E2667C">
        <w:t xml:space="preserve"> </w:t>
      </w:r>
      <w:r w:rsidR="00D70861">
        <w:t xml:space="preserve">which is </w:t>
      </w:r>
      <w:r w:rsidR="0053356A">
        <w:t xml:space="preserve">indicated via measure </w:t>
      </w:r>
      <w:proofErr w:type="spellStart"/>
      <w:r w:rsidR="0053356A">
        <w:t>phrase</w:t>
      </w:r>
      <w:r w:rsidR="000267EF">
        <w:t>s</w:t>
      </w:r>
      <w:r w:rsidR="00D70861">
        <w:t>s</w:t>
      </w:r>
      <w:proofErr w:type="spellEnd"/>
      <w:r w:rsidR="0053356A">
        <w:t xml:space="preserve"> or </w:t>
      </w:r>
      <w:r w:rsidR="000267EF">
        <w:t>the</w:t>
      </w:r>
      <w:r w:rsidR="0053356A">
        <w:t xml:space="preserve"> comparative clause </w:t>
      </w:r>
      <w:r w:rsidR="00D70861">
        <w:t xml:space="preserve">landing </w:t>
      </w:r>
      <w:r w:rsidR="0053356A">
        <w:t>at the complement position of the preposition “than”;</w:t>
      </w:r>
      <w:r w:rsidR="00E2667C">
        <w:rPr>
          <w:rFonts w:hint="eastAsia"/>
        </w:rPr>
        <w:t xml:space="preserve"> </w:t>
      </w:r>
      <w:r w:rsidR="0053356A">
        <w:t xml:space="preserve">(c) </w:t>
      </w:r>
      <w:r w:rsidR="00E2667C">
        <w:t xml:space="preserve">degree relation </w:t>
      </w:r>
      <m:oMath>
        <m:r>
          <w:rPr>
            <w:rFonts w:ascii="Cambria Math" w:hAnsi="Cambria Math"/>
          </w:rPr>
          <m:t>R</m:t>
        </m:r>
      </m:oMath>
      <w:r w:rsidR="0053356A">
        <w:rPr>
          <w:rFonts w:hint="eastAsia"/>
        </w:rPr>
        <w:t>,</w:t>
      </w:r>
      <w:r w:rsidR="0053356A">
        <w:t xml:space="preserve"> a partial order</w:t>
      </w:r>
      <w:r w:rsidR="00D70861">
        <w:t>ing</w:t>
      </w:r>
      <w:r w:rsidR="0053356A">
        <w:t xml:space="preserve"> relation </w:t>
      </w:r>
      <w:r w:rsidR="0069282F">
        <w:t>encoded</w:t>
      </w:r>
      <w:r w:rsidR="00226137">
        <w:t xml:space="preserve"> by degree morpheme</w:t>
      </w:r>
      <w:r w:rsidR="001636E3">
        <w:t>s</w:t>
      </w:r>
      <w:r w:rsidR="00625329">
        <w:t xml:space="preserve">, </w:t>
      </w:r>
      <w:r w:rsidR="00625329" w:rsidRPr="00625329">
        <w:t>element</w:t>
      </w:r>
      <w:r w:rsidR="00625329">
        <w:t>s</w:t>
      </w:r>
      <w:r w:rsidR="00625329" w:rsidRPr="00625329">
        <w:t xml:space="preserve"> of {</w:t>
      </w:r>
      <w:bookmarkStart w:id="0" w:name="_Hlk134918213"/>
      <w:r w:rsidR="00625329" w:rsidRPr="00625329">
        <w:rPr>
          <w:i/>
          <w:iCs/>
        </w:rPr>
        <w:t>er/more</w:t>
      </w:r>
      <w:r w:rsidR="00625329" w:rsidRPr="00625329">
        <w:t xml:space="preserve">, </w:t>
      </w:r>
      <w:r w:rsidR="00625329" w:rsidRPr="00625329">
        <w:rPr>
          <w:i/>
          <w:iCs/>
        </w:rPr>
        <w:t>less</w:t>
      </w:r>
      <w:r w:rsidR="00625329" w:rsidRPr="00625329">
        <w:t xml:space="preserve">, </w:t>
      </w:r>
      <w:r w:rsidR="00625329" w:rsidRPr="00625329">
        <w:rPr>
          <w:i/>
          <w:iCs/>
        </w:rPr>
        <w:t>as</w:t>
      </w:r>
      <w:r w:rsidR="00625329" w:rsidRPr="00625329">
        <w:t xml:space="preserve">, </w:t>
      </w:r>
      <w:r w:rsidR="00625329" w:rsidRPr="00625329">
        <w:rPr>
          <w:i/>
          <w:iCs/>
        </w:rPr>
        <w:t>too</w:t>
      </w:r>
      <w:r w:rsidR="00625329" w:rsidRPr="00625329">
        <w:t xml:space="preserve">, </w:t>
      </w:r>
      <w:r w:rsidR="00625329" w:rsidRPr="00625329">
        <w:rPr>
          <w:i/>
          <w:iCs/>
        </w:rPr>
        <w:t>enough</w:t>
      </w:r>
      <w:r w:rsidR="00625329" w:rsidRPr="00625329">
        <w:t xml:space="preserve">, </w:t>
      </w:r>
      <w:r w:rsidR="00625329" w:rsidRPr="00625329">
        <w:rPr>
          <w:i/>
          <w:iCs/>
        </w:rPr>
        <w:t>so</w:t>
      </w:r>
      <w:r w:rsidR="00625329" w:rsidRPr="00625329">
        <w:t xml:space="preserve">, </w:t>
      </w:r>
      <w:r w:rsidR="00625329" w:rsidRPr="00625329">
        <w:rPr>
          <w:i/>
          <w:iCs/>
        </w:rPr>
        <w:t>how</w:t>
      </w:r>
      <w:r w:rsidR="00625329" w:rsidRPr="00625329">
        <w:t>, ...</w:t>
      </w:r>
      <w:bookmarkEnd w:id="0"/>
      <w:r w:rsidR="00625329" w:rsidRPr="00625329">
        <w:t>}</w:t>
      </w:r>
      <w:r w:rsidR="0069282F">
        <w:t xml:space="preserve">, </w:t>
      </w:r>
      <w:r w:rsidR="000267EF">
        <w:t xml:space="preserve">which </w:t>
      </w:r>
      <w:r w:rsidR="0053356A">
        <w:t>compare</w:t>
      </w:r>
      <w:r w:rsidR="00226137">
        <w:t>s</w:t>
      </w:r>
      <w:r w:rsidR="0053356A">
        <w:t xml:space="preserve"> the reference value and the standard value</w:t>
      </w:r>
      <w:r w:rsidR="00226137">
        <w:t>.</w:t>
      </w:r>
      <w:r w:rsidR="000267EF">
        <w:t xml:space="preserve"> </w:t>
      </w:r>
      <w:r w:rsidR="00F260C9">
        <w:t>The formalization of degree constructions is shown as below:</w:t>
      </w:r>
    </w:p>
    <w:p w14:paraId="5458A9C9" w14:textId="3AF3382F" w:rsidR="00C74EB3" w:rsidRDefault="00C74EB3">
      <m:oMathPara>
        <m:oMath>
          <m:r>
            <w:rPr>
              <w:rFonts w:ascii="Cambria Math" w:hAnsi="Cambria Math"/>
            </w:rPr>
            <m:t>λx.[R</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r>
            <w:rPr>
              <w:rFonts w:ascii="Cambria Math" w:hAnsi="Cambria Math"/>
            </w:rPr>
            <m:t>(s)]</m:t>
          </m:r>
        </m:oMath>
      </m:oMathPara>
    </w:p>
    <w:p w14:paraId="1FD35468" w14:textId="77777777" w:rsidR="00C74EB3" w:rsidRDefault="00C74EB3"/>
    <w:p w14:paraId="33456599" w14:textId="4EE94406" w:rsidR="00AE191D" w:rsidRDefault="001636E3">
      <w:r>
        <w:rPr>
          <w:rFonts w:hint="eastAsia"/>
        </w:rPr>
        <w:t>I</w:t>
      </w:r>
      <w:r>
        <w:t xml:space="preserve">n terms of the syntactic structure of degree constructions, Kennedy projects </w:t>
      </w:r>
      <w:r w:rsidR="00343129">
        <w:t xml:space="preserve">the </w:t>
      </w:r>
      <w:r w:rsidR="00BC6AFD">
        <w:t>d</w:t>
      </w:r>
      <w:r w:rsidR="00343129">
        <w:t xml:space="preserve">egree </w:t>
      </w:r>
      <w:r w:rsidR="00BC6AFD">
        <w:t>p</w:t>
      </w:r>
      <w:r w:rsidR="00343129">
        <w:t xml:space="preserve">hrase </w:t>
      </w:r>
      <w:r w:rsidR="004D14C2">
        <w:t>(</w:t>
      </w:r>
      <w:proofErr w:type="spellStart"/>
      <w:r w:rsidR="004D14C2">
        <w:t>DegP</w:t>
      </w:r>
      <w:proofErr w:type="spellEnd"/>
      <w:r w:rsidR="004D14C2">
        <w:t xml:space="preserve">) </w:t>
      </w:r>
      <w:r w:rsidR="00343129">
        <w:t xml:space="preserve">headed by a </w:t>
      </w:r>
      <w:r w:rsidR="004D14C2">
        <w:t xml:space="preserve">degree morpheme </w:t>
      </w:r>
      <w:r>
        <w:t>as</w:t>
      </w:r>
      <w:r w:rsidR="00343129">
        <w:t xml:space="preserve"> a functional phrase (FP)</w:t>
      </w:r>
      <w:r>
        <w:t xml:space="preserve"> above </w:t>
      </w:r>
      <w:r w:rsidR="00343129">
        <w:t xml:space="preserve">the </w:t>
      </w:r>
      <w:r w:rsidR="004D14C2">
        <w:t>a</w:t>
      </w:r>
      <w:r w:rsidR="00343129">
        <w:t xml:space="preserve">djective </w:t>
      </w:r>
      <w:r w:rsidR="004D14C2">
        <w:t>p</w:t>
      </w:r>
      <w:r w:rsidR="00343129">
        <w:t>hrase (</w:t>
      </w:r>
      <w:r>
        <w:t>AP</w:t>
      </w:r>
      <w:r w:rsidR="00343129">
        <w:t xml:space="preserve">) headed by a </w:t>
      </w:r>
      <w:r w:rsidR="004D14C2">
        <w:t>gradable morpheme</w:t>
      </w:r>
      <w:r w:rsidR="00BE28BD">
        <w:t xml:space="preserve">, </w:t>
      </w:r>
      <w:r w:rsidR="004D14C2">
        <w:t xml:space="preserve">an account </w:t>
      </w:r>
      <w:r w:rsidR="00BE28BD">
        <w:t xml:space="preserve">which is developed from </w:t>
      </w:r>
      <w:r w:rsidR="00343129">
        <w:t>approaches where adjectives are projected to an extended functional structure (</w:t>
      </w:r>
      <w:r w:rsidR="00BE28BD">
        <w:t>Abney</w:t>
      </w:r>
      <w:r w:rsidR="00343129">
        <w:t xml:space="preserve">, </w:t>
      </w:r>
      <w:r w:rsidR="00BE28BD">
        <w:t xml:space="preserve">1987; </w:t>
      </w:r>
      <w:proofErr w:type="spellStart"/>
      <w:r w:rsidR="00BE28BD">
        <w:t>Corver</w:t>
      </w:r>
      <w:proofErr w:type="spellEnd"/>
      <w:r w:rsidR="00343129">
        <w:t xml:space="preserve">, </w:t>
      </w:r>
      <w:r w:rsidR="00BE28BD">
        <w:t>1990, 1997; Grimshaw</w:t>
      </w:r>
      <w:r w:rsidR="00343129">
        <w:t xml:space="preserve">, </w:t>
      </w:r>
      <w:r w:rsidR="00BE28BD">
        <w:t>1991</w:t>
      </w:r>
      <w:r w:rsidR="00343129">
        <w:t>).</w:t>
      </w:r>
      <w:r w:rsidR="00EC4A51">
        <w:t xml:space="preserve"> The syntactic tree structure of degree constructions is shown as below:</w:t>
      </w:r>
    </w:p>
    <w:p w14:paraId="1A35CCA4" w14:textId="44DE277B" w:rsidR="00AE191D" w:rsidRDefault="0002693C" w:rsidP="00EC4A51">
      <w:pPr>
        <w:jc w:val="center"/>
      </w:pPr>
      <w:r w:rsidRPr="0002693C">
        <w:rPr>
          <w:noProof/>
        </w:rPr>
        <w:lastRenderedPageBreak/>
        <w:drawing>
          <wp:inline distT="0" distB="0" distL="0" distR="0" wp14:anchorId="199D6FDB" wp14:editId="0B6AB097">
            <wp:extent cx="1570092" cy="943076"/>
            <wp:effectExtent l="0" t="0" r="0" b="0"/>
            <wp:docPr id="425552859"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552859" name="图片 1" descr="图示&#10;&#10;描述已自动生成"/>
                    <pic:cNvPicPr/>
                  </pic:nvPicPr>
                  <pic:blipFill>
                    <a:blip r:embed="rId7"/>
                    <a:stretch>
                      <a:fillRect/>
                    </a:stretch>
                  </pic:blipFill>
                  <pic:spPr>
                    <a:xfrm>
                      <a:off x="0" y="0"/>
                      <a:ext cx="1590080" cy="955082"/>
                    </a:xfrm>
                    <a:prstGeom prst="rect">
                      <a:avLst/>
                    </a:prstGeom>
                  </pic:spPr>
                </pic:pic>
              </a:graphicData>
            </a:graphic>
          </wp:inline>
        </w:drawing>
      </w:r>
    </w:p>
    <w:p w14:paraId="24A4951D" w14:textId="77777777" w:rsidR="00D538B0" w:rsidRDefault="00D538B0"/>
    <w:p w14:paraId="696ACFBA" w14:textId="6CE83E22" w:rsidR="00C22865" w:rsidRDefault="00C3609F">
      <w:r>
        <w:t>Typically,</w:t>
      </w:r>
      <w:r w:rsidR="00641220">
        <w:t xml:space="preserve"> scholars </w:t>
      </w:r>
      <w:r w:rsidR="00033F48">
        <w:t>think that the meaning of gradable adjectives is composed of two major parts</w:t>
      </w:r>
      <w:r w:rsidR="00A45ACC">
        <w:t>: a measure function and an ordering relation</w:t>
      </w:r>
      <w:r w:rsidR="00A358E8">
        <w:t xml:space="preserve"> (</w:t>
      </w:r>
      <w:r w:rsidR="006F0A4B">
        <w:t>Carston,1988 and Horn, 1992).</w:t>
      </w:r>
    </w:p>
    <w:p w14:paraId="41DE8E3F" w14:textId="0C4F4E03" w:rsidR="0002693C" w:rsidRDefault="00C3609F">
      <w:r>
        <w:t xml:space="preserve">In contrast, </w:t>
      </w:r>
      <w:r w:rsidR="00966E41">
        <w:rPr>
          <w:rFonts w:hint="eastAsia"/>
        </w:rPr>
        <w:t>K</w:t>
      </w:r>
      <w:r w:rsidR="00966E41">
        <w:t xml:space="preserve">ennedy’s analysis </w:t>
      </w:r>
      <w:r w:rsidR="00BD6ACF">
        <w:t xml:space="preserve">excludes the </w:t>
      </w:r>
      <w:r w:rsidR="004C794A">
        <w:t>relation</w:t>
      </w:r>
      <w:r>
        <w:t>al component</w:t>
      </w:r>
      <w:r w:rsidR="004C794A">
        <w:t xml:space="preserve"> from the meaning</w:t>
      </w:r>
      <w:r w:rsidR="00044E26">
        <w:t xml:space="preserve"> of gradable adjectives, rather assigning this </w:t>
      </w:r>
      <w:r w:rsidR="00143602">
        <w:t>semantic part to the degree morphology</w:t>
      </w:r>
      <w:r w:rsidR="000C0A2F">
        <w:t xml:space="preserve">. This division of </w:t>
      </w:r>
      <w:proofErr w:type="spellStart"/>
      <w:r w:rsidR="000C0A2F">
        <w:t>labor</w:t>
      </w:r>
      <w:proofErr w:type="spellEnd"/>
      <w:r w:rsidR="00CD54EA">
        <w:t xml:space="preserve"> </w:t>
      </w:r>
      <w:r w:rsidR="00D538B0">
        <w:t xml:space="preserve">between the gradable adjective and the degree morphology </w:t>
      </w:r>
      <w:r w:rsidR="00CD54EA">
        <w:t>is</w:t>
      </w:r>
      <w:r w:rsidR="00C06076">
        <w:t xml:space="preserve"> also</w:t>
      </w:r>
      <w:r w:rsidR="00CD54EA">
        <w:t xml:space="preserve"> reflected by the </w:t>
      </w:r>
      <w:r w:rsidR="008E29A7">
        <w:t>AP/</w:t>
      </w:r>
      <w:proofErr w:type="spellStart"/>
      <w:r w:rsidR="008E29A7">
        <w:t>DegP</w:t>
      </w:r>
      <w:proofErr w:type="spellEnd"/>
      <w:r w:rsidR="008E29A7">
        <w:t xml:space="preserve"> </w:t>
      </w:r>
      <w:r w:rsidR="002B0DC3">
        <w:t>extended projection.</w:t>
      </w:r>
      <w:r w:rsidR="00485B61">
        <w:t xml:space="preserve"> </w:t>
      </w:r>
      <w:r w:rsidR="0045140A">
        <w:t xml:space="preserve">Therefore, </w:t>
      </w:r>
      <w:r w:rsidR="00873487">
        <w:t xml:space="preserve">Kennedy’s analysis </w:t>
      </w:r>
      <w:r w:rsidR="00834FC9">
        <w:t xml:space="preserve">revises the semantic type of gradable adjectives from the traditional </w:t>
      </w:r>
      <w:r w:rsidR="0052107E">
        <w:t xml:space="preserve">version </w:t>
      </w:r>
      <m:oMath>
        <m:r>
          <w:rPr>
            <w:rFonts w:ascii="Cambria Math" w:hAnsi="Cambria Math"/>
          </w:rPr>
          <m:t>&lt;d, &lt;e, t&gt;&gt;</m:t>
        </m:r>
      </m:oMath>
      <w:r w:rsidR="0052107E">
        <w:t xml:space="preserve"> to the simplified version </w:t>
      </w:r>
      <m:oMath>
        <m:r>
          <w:rPr>
            <w:rFonts w:ascii="Cambria Math" w:hAnsi="Cambria Math"/>
          </w:rPr>
          <m:t>&lt;e, t&gt;</m:t>
        </m:r>
      </m:oMath>
      <w:r w:rsidR="0052107E">
        <w:t xml:space="preserve">, </w:t>
      </w:r>
      <w:r w:rsidR="009D17AC">
        <w:t>making the complexity t</w:t>
      </w:r>
      <w:r w:rsidR="003A0FCF">
        <w:t>ransmitted to the degree mo</w:t>
      </w:r>
      <w:r w:rsidR="005D68D8">
        <w:t>rphology.</w:t>
      </w:r>
    </w:p>
    <w:p w14:paraId="3A862918" w14:textId="77777777" w:rsidR="0002693C" w:rsidRPr="0052107E" w:rsidRDefault="0002693C"/>
    <w:p w14:paraId="78E7AC01" w14:textId="22B2A92B" w:rsidR="0002693C" w:rsidRDefault="004218C4">
      <w:r>
        <w:t xml:space="preserve">Secondly, </w:t>
      </w:r>
      <w:r w:rsidR="00694172">
        <w:t>Kennedy mak</w:t>
      </w:r>
      <w:r w:rsidR="00EF6908">
        <w:t>es refinement to the interpretation of degrees.</w:t>
      </w:r>
      <w:r w:rsidR="005917A0">
        <w:t xml:space="preserve"> </w:t>
      </w:r>
      <w:r w:rsidR="00CB3EC3">
        <w:t>He argues that degrees should be formalized as extents</w:t>
      </w:r>
      <w:r w:rsidR="0081239A">
        <w:t xml:space="preserve"> (</w:t>
      </w:r>
      <w:proofErr w:type="spellStart"/>
      <w:r w:rsidR="00663F57">
        <w:t>Seuren</w:t>
      </w:r>
      <w:proofErr w:type="spellEnd"/>
      <w:r w:rsidR="00663F57">
        <w:t xml:space="preserve">, </w:t>
      </w:r>
      <w:r w:rsidR="00663F57">
        <w:t xml:space="preserve">1978; von </w:t>
      </w:r>
      <w:proofErr w:type="spellStart"/>
      <w:r w:rsidR="00663F57">
        <w:t>Stechow</w:t>
      </w:r>
      <w:proofErr w:type="spellEnd"/>
      <w:r w:rsidR="00663F57">
        <w:t>,</w:t>
      </w:r>
      <w:r w:rsidR="00663F57">
        <w:t xml:space="preserve"> 1984b; </w:t>
      </w:r>
      <w:proofErr w:type="spellStart"/>
      <w:r w:rsidR="00663F57">
        <w:t>Bierwisch</w:t>
      </w:r>
      <w:proofErr w:type="spellEnd"/>
      <w:r w:rsidR="00663F57">
        <w:t>,</w:t>
      </w:r>
      <w:r w:rsidR="00663F57">
        <w:t xml:space="preserve"> 1989; </w:t>
      </w:r>
      <w:proofErr w:type="spellStart"/>
      <w:r w:rsidR="00663F57">
        <w:t>Löbner</w:t>
      </w:r>
      <w:proofErr w:type="spellEnd"/>
      <w:r w:rsidR="00663F57">
        <w:t>,</w:t>
      </w:r>
      <w:r w:rsidR="00663F57">
        <w:t xml:space="preserve"> 1990</w:t>
      </w:r>
      <w:r w:rsidR="0081239A">
        <w:t>)</w:t>
      </w:r>
      <w:r w:rsidR="00CB3EC3">
        <w:t xml:space="preserve"> rather tha</w:t>
      </w:r>
      <w:r w:rsidR="0081239A">
        <w:t>n</w:t>
      </w:r>
      <w:r w:rsidR="00CB3EC3">
        <w:t xml:space="preserve"> as </w:t>
      </w:r>
      <w:r w:rsidR="0081239A">
        <w:t>points on a scale</w:t>
      </w:r>
      <w:r w:rsidR="00663F57">
        <w:t xml:space="preserve">, which is </w:t>
      </w:r>
      <w:r w:rsidR="003E354C">
        <w:t xml:space="preserve">different from </w:t>
      </w:r>
      <w:r w:rsidR="00D1186F">
        <w:t xml:space="preserve">classical </w:t>
      </w:r>
      <w:r w:rsidR="003E354C">
        <w:t xml:space="preserve">scalar </w:t>
      </w:r>
      <w:r w:rsidR="00D1186F">
        <w:t>analyses.</w:t>
      </w:r>
      <w:r w:rsidR="00462C87">
        <w:t xml:space="preserve"> </w:t>
      </w:r>
      <w:r w:rsidR="007A7002">
        <w:t xml:space="preserve">Based on this extent-scalar view, </w:t>
      </w:r>
      <w:r w:rsidR="00585C90">
        <w:t xml:space="preserve">Kennedy </w:t>
      </w:r>
      <w:r w:rsidR="00950083">
        <w:t>assumes that</w:t>
      </w:r>
      <w:r w:rsidR="00585C90">
        <w:t xml:space="preserve"> </w:t>
      </w:r>
      <w:r w:rsidR="0000148E">
        <w:t xml:space="preserve">gradable </w:t>
      </w:r>
      <w:r w:rsidR="00585C90">
        <w:t xml:space="preserve">adjectives </w:t>
      </w:r>
      <w:r w:rsidR="00280455">
        <w:t xml:space="preserve">characteristic of adjectival polarity can be divided </w:t>
      </w:r>
      <w:r w:rsidR="00585C90">
        <w:t xml:space="preserve">into </w:t>
      </w:r>
      <w:r w:rsidR="0000148E">
        <w:t>positive</w:t>
      </w:r>
      <w:r w:rsidR="00585C90">
        <w:t xml:space="preserve"> </w:t>
      </w:r>
      <w:r w:rsidR="0000148E">
        <w:t>adjectives</w:t>
      </w:r>
      <w:r w:rsidR="000A34B5">
        <w:t xml:space="preserve">, such as </w:t>
      </w:r>
      <w:r w:rsidR="000A34B5" w:rsidRPr="000A34B5">
        <w:rPr>
          <w:i/>
          <w:iCs/>
        </w:rPr>
        <w:t>tall</w:t>
      </w:r>
      <w:r w:rsidR="000A34B5">
        <w:t>,</w:t>
      </w:r>
      <w:r w:rsidR="0000148E">
        <w:t xml:space="preserve"> and negative ones</w:t>
      </w:r>
      <w:r w:rsidR="000A34B5">
        <w:t xml:space="preserve">, such as </w:t>
      </w:r>
      <w:r w:rsidR="000A34B5" w:rsidRPr="000A34B5">
        <w:rPr>
          <w:i/>
          <w:iCs/>
        </w:rPr>
        <w:t>short</w:t>
      </w:r>
      <w:r w:rsidR="00280455">
        <w:t>.</w:t>
      </w:r>
      <w:r w:rsidR="00173EE8">
        <w:t xml:space="preserve"> According to this distinction, th</w:t>
      </w:r>
      <w:r w:rsidR="00300A0C">
        <w:t xml:space="preserve">e </w:t>
      </w:r>
      <w:r w:rsidR="009B51AF">
        <w:t>anomaly</w:t>
      </w:r>
      <w:r w:rsidR="00E64A21">
        <w:t xml:space="preserve"> of comparisons made between </w:t>
      </w:r>
      <w:r w:rsidR="00585939">
        <w:t xml:space="preserve">antonymous adjectives can be </w:t>
      </w:r>
      <w:r w:rsidR="00320EE4">
        <w:t xml:space="preserve">explained by the </w:t>
      </w:r>
      <w:r w:rsidR="00CE61CE">
        <w:t>undefine</w:t>
      </w:r>
      <w:r w:rsidR="00A64BB6">
        <w:t>d</w:t>
      </w:r>
      <w:r w:rsidR="00CE61CE">
        <w:t xml:space="preserve"> ordering relation </w:t>
      </w:r>
      <w:r w:rsidR="00A64BB6">
        <w:t xml:space="preserve">for </w:t>
      </w:r>
      <w:r w:rsidR="000A34B5">
        <w:t>extents of opposite polarity.</w:t>
      </w:r>
    </w:p>
    <w:p w14:paraId="0303649B" w14:textId="7BA4C42C" w:rsidR="0002693C" w:rsidRDefault="0002693C">
      <w:pPr>
        <w:rPr>
          <w:rFonts w:hint="eastAsia"/>
        </w:rPr>
      </w:pPr>
    </w:p>
    <w:p w14:paraId="45488030" w14:textId="77777777" w:rsidR="0002693C" w:rsidRDefault="0002693C"/>
    <w:p w14:paraId="572337D4" w14:textId="77777777" w:rsidR="0002693C" w:rsidRDefault="0002693C"/>
    <w:p w14:paraId="0BD646B8" w14:textId="77777777" w:rsidR="0002693C" w:rsidRDefault="0002693C"/>
    <w:p w14:paraId="2A2BFDE9" w14:textId="77777777" w:rsidR="0002693C" w:rsidRDefault="0002693C"/>
    <w:p w14:paraId="6A2993A2" w14:textId="77777777" w:rsidR="0002693C" w:rsidRDefault="0002693C"/>
    <w:p w14:paraId="7FBDA499" w14:textId="74B8A1F1" w:rsidR="00AE191D" w:rsidRDefault="00AE191D">
      <w:r>
        <w:t>Reference\</w:t>
      </w:r>
    </w:p>
    <w:p w14:paraId="6D153B4F" w14:textId="5171B3DD" w:rsidR="00386107" w:rsidRDefault="00386107">
      <w:r w:rsidRPr="00386107">
        <w:rPr>
          <w:rFonts w:hint="eastAsia"/>
          <w:highlight w:val="yellow"/>
        </w:rPr>
        <w:t>K</w:t>
      </w:r>
      <w:r w:rsidRPr="00386107">
        <w:rPr>
          <w:highlight w:val="yellow"/>
        </w:rPr>
        <w:t>ennedy 1997</w:t>
      </w:r>
    </w:p>
    <w:p w14:paraId="7A673E55" w14:textId="77777777" w:rsidR="00386107" w:rsidRDefault="00386107"/>
    <w:p w14:paraId="3B705204" w14:textId="2CA626E2" w:rsidR="00343129" w:rsidRDefault="00F27873" w:rsidP="00AE191D">
      <w:proofErr w:type="spellStart"/>
      <w:r w:rsidRPr="009670CA">
        <w:t>Cresswell</w:t>
      </w:r>
      <w:proofErr w:type="spellEnd"/>
      <w:r w:rsidRPr="009670CA">
        <w:t xml:space="preserve">, 1976; </w:t>
      </w:r>
      <w:proofErr w:type="spellStart"/>
      <w:r w:rsidRPr="009670CA">
        <w:t>Bierwisch</w:t>
      </w:r>
      <w:proofErr w:type="spellEnd"/>
      <w:r w:rsidRPr="009670CA">
        <w:t>, 1989</w:t>
      </w:r>
    </w:p>
    <w:p w14:paraId="66F2B9BE" w14:textId="08CC92A8" w:rsidR="00F27873" w:rsidRDefault="00F27873" w:rsidP="00AE191D">
      <w:r w:rsidRPr="003701CD">
        <w:t>McConnell-</w:t>
      </w:r>
      <w:proofErr w:type="spellStart"/>
      <w:r w:rsidRPr="003701CD">
        <w:t>Ginet</w:t>
      </w:r>
      <w:proofErr w:type="spellEnd"/>
      <w:r>
        <w:t xml:space="preserve">, </w:t>
      </w:r>
      <w:r w:rsidRPr="003701CD">
        <w:t>1973; Kamp</w:t>
      </w:r>
      <w:r>
        <w:t xml:space="preserve">, </w:t>
      </w:r>
      <w:r w:rsidRPr="003701CD">
        <w:t>1975; Klein</w:t>
      </w:r>
      <w:r>
        <w:t xml:space="preserve">, </w:t>
      </w:r>
      <w:r w:rsidRPr="003701CD">
        <w:t>1980</w:t>
      </w:r>
    </w:p>
    <w:p w14:paraId="4AE73EC7" w14:textId="77777777" w:rsidR="00F8509B" w:rsidRDefault="00F8509B" w:rsidP="00AE191D"/>
    <w:p w14:paraId="1B0281EC" w14:textId="4A3EEC43" w:rsidR="00F8509B" w:rsidRDefault="00F8509B" w:rsidP="00AE191D">
      <w:proofErr w:type="spellStart"/>
      <w:r w:rsidRPr="00F8509B">
        <w:t>Hellan</w:t>
      </w:r>
      <w:proofErr w:type="spellEnd"/>
      <w:r>
        <w:t xml:space="preserve">, </w:t>
      </w:r>
      <w:r w:rsidRPr="00F8509B">
        <w:t>1981; Hoeksema</w:t>
      </w:r>
      <w:r>
        <w:t xml:space="preserve">, </w:t>
      </w:r>
      <w:r w:rsidRPr="00F8509B">
        <w:t xml:space="preserve">1983; von </w:t>
      </w:r>
      <w:proofErr w:type="spellStart"/>
      <w:r w:rsidRPr="00F8509B">
        <w:t>Stechow</w:t>
      </w:r>
      <w:proofErr w:type="spellEnd"/>
      <w:r>
        <w:t xml:space="preserve">, </w:t>
      </w:r>
      <w:r w:rsidRPr="00F8509B">
        <w:t>1984a</w:t>
      </w:r>
    </w:p>
    <w:p w14:paraId="4EB1CBBF" w14:textId="77777777" w:rsidR="002863E7" w:rsidRDefault="002863E7" w:rsidP="00AE191D"/>
    <w:p w14:paraId="25B8B688" w14:textId="3A3F55CD" w:rsidR="002863E7" w:rsidRDefault="002863E7" w:rsidP="00AE191D">
      <w:r>
        <w:t>Russell 1905</w:t>
      </w:r>
    </w:p>
    <w:p w14:paraId="19D2C396" w14:textId="77777777" w:rsidR="004E1A74" w:rsidRDefault="004E1A74" w:rsidP="00AE191D"/>
    <w:p w14:paraId="0E8C3F16" w14:textId="355CE77D" w:rsidR="004E1A74" w:rsidRDefault="004E1A74" w:rsidP="00AE191D">
      <w:r>
        <w:t xml:space="preserve">Abney, 1987; </w:t>
      </w:r>
      <w:proofErr w:type="spellStart"/>
      <w:r>
        <w:t>Corver</w:t>
      </w:r>
      <w:proofErr w:type="spellEnd"/>
      <w:r>
        <w:t>, 1990, 1997; Grimshaw, 1991</w:t>
      </w:r>
    </w:p>
    <w:p w14:paraId="5B901DDD" w14:textId="77777777" w:rsidR="006F0A4B" w:rsidRDefault="006F0A4B" w:rsidP="00AE191D"/>
    <w:p w14:paraId="39416484" w14:textId="1CB9E1A4" w:rsidR="006F0A4B" w:rsidRDefault="006F0A4B" w:rsidP="00AE191D">
      <w:r>
        <w:t>Carston,1988 and Horn, 1992</w:t>
      </w:r>
    </w:p>
    <w:p w14:paraId="107E0A1C" w14:textId="77777777" w:rsidR="00663F57" w:rsidRDefault="00663F57" w:rsidP="00AE191D"/>
    <w:p w14:paraId="680383F5" w14:textId="69EA461D" w:rsidR="00663F57" w:rsidRPr="00AE191D" w:rsidRDefault="00663F57" w:rsidP="00AE191D">
      <w:pPr>
        <w:rPr>
          <w:rFonts w:hint="eastAsia"/>
        </w:rPr>
      </w:pPr>
      <w:proofErr w:type="spellStart"/>
      <w:r>
        <w:t>Seuren</w:t>
      </w:r>
      <w:proofErr w:type="spellEnd"/>
      <w:r>
        <w:t xml:space="preserve"> 1978; von </w:t>
      </w:r>
      <w:proofErr w:type="spellStart"/>
      <w:r>
        <w:t>Stechow</w:t>
      </w:r>
      <w:proofErr w:type="spellEnd"/>
      <w:r>
        <w:t xml:space="preserve"> 1984b; </w:t>
      </w:r>
      <w:proofErr w:type="spellStart"/>
      <w:r>
        <w:t>Bierwisch</w:t>
      </w:r>
      <w:proofErr w:type="spellEnd"/>
      <w:r>
        <w:t xml:space="preserve"> 1989; </w:t>
      </w:r>
      <w:proofErr w:type="spellStart"/>
      <w:r>
        <w:t>Löbner</w:t>
      </w:r>
      <w:proofErr w:type="spellEnd"/>
      <w:r>
        <w:t xml:space="preserve"> 1990</w:t>
      </w:r>
    </w:p>
    <w:sectPr w:rsidR="00663F57" w:rsidRPr="00AE191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97DFF7" w14:textId="77777777" w:rsidR="00761F9E" w:rsidRDefault="00761F9E" w:rsidP="003701CD">
      <w:r>
        <w:separator/>
      </w:r>
    </w:p>
  </w:endnote>
  <w:endnote w:type="continuationSeparator" w:id="0">
    <w:p w14:paraId="51C31B1A" w14:textId="77777777" w:rsidR="00761F9E" w:rsidRDefault="00761F9E" w:rsidP="003701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68CE0A" w14:textId="77777777" w:rsidR="00761F9E" w:rsidRDefault="00761F9E" w:rsidP="003701CD">
      <w:r>
        <w:separator/>
      </w:r>
    </w:p>
  </w:footnote>
  <w:footnote w:type="continuationSeparator" w:id="0">
    <w:p w14:paraId="25BFBD10" w14:textId="77777777" w:rsidR="00761F9E" w:rsidRDefault="00761F9E" w:rsidP="003701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6728B"/>
    <w:multiLevelType w:val="hybridMultilevel"/>
    <w:tmpl w:val="BEBA82E2"/>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 w15:restartNumberingAfterBreak="0">
    <w:nsid w:val="208D771E"/>
    <w:multiLevelType w:val="hybridMultilevel"/>
    <w:tmpl w:val="13C25B0C"/>
    <w:lvl w:ilvl="0" w:tplc="04090001">
      <w:start w:val="1"/>
      <w:numFmt w:val="bullet"/>
      <w:lvlText w:val=""/>
      <w:lvlJc w:val="left"/>
      <w:pPr>
        <w:ind w:left="861" w:hanging="440"/>
      </w:pPr>
      <w:rPr>
        <w:rFonts w:ascii="Wingdings" w:hAnsi="Wingdings" w:hint="default"/>
      </w:rPr>
    </w:lvl>
    <w:lvl w:ilvl="1" w:tplc="04090003" w:tentative="1">
      <w:start w:val="1"/>
      <w:numFmt w:val="bullet"/>
      <w:lvlText w:val=""/>
      <w:lvlJc w:val="left"/>
      <w:pPr>
        <w:ind w:left="1301" w:hanging="440"/>
      </w:pPr>
      <w:rPr>
        <w:rFonts w:ascii="Wingdings" w:hAnsi="Wingdings" w:hint="default"/>
      </w:rPr>
    </w:lvl>
    <w:lvl w:ilvl="2" w:tplc="04090005" w:tentative="1">
      <w:start w:val="1"/>
      <w:numFmt w:val="bullet"/>
      <w:lvlText w:val=""/>
      <w:lvlJc w:val="left"/>
      <w:pPr>
        <w:ind w:left="1741" w:hanging="440"/>
      </w:pPr>
      <w:rPr>
        <w:rFonts w:ascii="Wingdings" w:hAnsi="Wingdings" w:hint="default"/>
      </w:rPr>
    </w:lvl>
    <w:lvl w:ilvl="3" w:tplc="04090001" w:tentative="1">
      <w:start w:val="1"/>
      <w:numFmt w:val="bullet"/>
      <w:lvlText w:val=""/>
      <w:lvlJc w:val="left"/>
      <w:pPr>
        <w:ind w:left="2181" w:hanging="440"/>
      </w:pPr>
      <w:rPr>
        <w:rFonts w:ascii="Wingdings" w:hAnsi="Wingdings" w:hint="default"/>
      </w:rPr>
    </w:lvl>
    <w:lvl w:ilvl="4" w:tplc="04090003" w:tentative="1">
      <w:start w:val="1"/>
      <w:numFmt w:val="bullet"/>
      <w:lvlText w:val=""/>
      <w:lvlJc w:val="left"/>
      <w:pPr>
        <w:ind w:left="2621" w:hanging="440"/>
      </w:pPr>
      <w:rPr>
        <w:rFonts w:ascii="Wingdings" w:hAnsi="Wingdings" w:hint="default"/>
      </w:rPr>
    </w:lvl>
    <w:lvl w:ilvl="5" w:tplc="04090005" w:tentative="1">
      <w:start w:val="1"/>
      <w:numFmt w:val="bullet"/>
      <w:lvlText w:val=""/>
      <w:lvlJc w:val="left"/>
      <w:pPr>
        <w:ind w:left="3061" w:hanging="440"/>
      </w:pPr>
      <w:rPr>
        <w:rFonts w:ascii="Wingdings" w:hAnsi="Wingdings" w:hint="default"/>
      </w:rPr>
    </w:lvl>
    <w:lvl w:ilvl="6" w:tplc="04090001" w:tentative="1">
      <w:start w:val="1"/>
      <w:numFmt w:val="bullet"/>
      <w:lvlText w:val=""/>
      <w:lvlJc w:val="left"/>
      <w:pPr>
        <w:ind w:left="3501" w:hanging="440"/>
      </w:pPr>
      <w:rPr>
        <w:rFonts w:ascii="Wingdings" w:hAnsi="Wingdings" w:hint="default"/>
      </w:rPr>
    </w:lvl>
    <w:lvl w:ilvl="7" w:tplc="04090003" w:tentative="1">
      <w:start w:val="1"/>
      <w:numFmt w:val="bullet"/>
      <w:lvlText w:val=""/>
      <w:lvlJc w:val="left"/>
      <w:pPr>
        <w:ind w:left="3941" w:hanging="440"/>
      </w:pPr>
      <w:rPr>
        <w:rFonts w:ascii="Wingdings" w:hAnsi="Wingdings" w:hint="default"/>
      </w:rPr>
    </w:lvl>
    <w:lvl w:ilvl="8" w:tplc="04090005" w:tentative="1">
      <w:start w:val="1"/>
      <w:numFmt w:val="bullet"/>
      <w:lvlText w:val=""/>
      <w:lvlJc w:val="left"/>
      <w:pPr>
        <w:ind w:left="4381" w:hanging="440"/>
      </w:pPr>
      <w:rPr>
        <w:rFonts w:ascii="Wingdings" w:hAnsi="Wingdings" w:hint="default"/>
      </w:rPr>
    </w:lvl>
  </w:abstractNum>
  <w:num w:numId="1" w16cid:durableId="1990554291">
    <w:abstractNumId w:val="0"/>
  </w:num>
  <w:num w:numId="2" w16cid:durableId="9783395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4E3"/>
    <w:rsid w:val="0000148E"/>
    <w:rsid w:val="000267EF"/>
    <w:rsid w:val="0002693C"/>
    <w:rsid w:val="00033F48"/>
    <w:rsid w:val="00035AF2"/>
    <w:rsid w:val="00044E26"/>
    <w:rsid w:val="000A34B5"/>
    <w:rsid w:val="000C0A2F"/>
    <w:rsid w:val="000C6A68"/>
    <w:rsid w:val="001174C8"/>
    <w:rsid w:val="00133072"/>
    <w:rsid w:val="00143602"/>
    <w:rsid w:val="001636E3"/>
    <w:rsid w:val="00173EE8"/>
    <w:rsid w:val="00194F31"/>
    <w:rsid w:val="001B201C"/>
    <w:rsid w:val="001F7275"/>
    <w:rsid w:val="00226137"/>
    <w:rsid w:val="002350C8"/>
    <w:rsid w:val="00280455"/>
    <w:rsid w:val="00283959"/>
    <w:rsid w:val="002863E7"/>
    <w:rsid w:val="00295A43"/>
    <w:rsid w:val="002B0DC3"/>
    <w:rsid w:val="00300A0C"/>
    <w:rsid w:val="00312C05"/>
    <w:rsid w:val="00320EE4"/>
    <w:rsid w:val="00321EC0"/>
    <w:rsid w:val="00327F99"/>
    <w:rsid w:val="00333223"/>
    <w:rsid w:val="00343129"/>
    <w:rsid w:val="0036274B"/>
    <w:rsid w:val="003701CD"/>
    <w:rsid w:val="00386107"/>
    <w:rsid w:val="00395590"/>
    <w:rsid w:val="003A0FCF"/>
    <w:rsid w:val="003E354C"/>
    <w:rsid w:val="0040631A"/>
    <w:rsid w:val="004218C4"/>
    <w:rsid w:val="00451377"/>
    <w:rsid w:val="0045140A"/>
    <w:rsid w:val="00461B99"/>
    <w:rsid w:val="00462C87"/>
    <w:rsid w:val="004721DA"/>
    <w:rsid w:val="00485B61"/>
    <w:rsid w:val="004B1EC9"/>
    <w:rsid w:val="004C794A"/>
    <w:rsid w:val="004D14C2"/>
    <w:rsid w:val="004E1A74"/>
    <w:rsid w:val="0052107E"/>
    <w:rsid w:val="00522C8C"/>
    <w:rsid w:val="0053356A"/>
    <w:rsid w:val="00534583"/>
    <w:rsid w:val="005670A9"/>
    <w:rsid w:val="00583A0A"/>
    <w:rsid w:val="00585939"/>
    <w:rsid w:val="00585C90"/>
    <w:rsid w:val="005917A0"/>
    <w:rsid w:val="005D68D8"/>
    <w:rsid w:val="00625329"/>
    <w:rsid w:val="00636F80"/>
    <w:rsid w:val="00641220"/>
    <w:rsid w:val="006436AA"/>
    <w:rsid w:val="00663F57"/>
    <w:rsid w:val="006738E9"/>
    <w:rsid w:val="0069282F"/>
    <w:rsid w:val="00694172"/>
    <w:rsid w:val="006F0A4B"/>
    <w:rsid w:val="00711F41"/>
    <w:rsid w:val="00761F9E"/>
    <w:rsid w:val="007A7002"/>
    <w:rsid w:val="007E1E6E"/>
    <w:rsid w:val="007F1992"/>
    <w:rsid w:val="007F67AA"/>
    <w:rsid w:val="0081239A"/>
    <w:rsid w:val="00834FC9"/>
    <w:rsid w:val="00842469"/>
    <w:rsid w:val="00842D78"/>
    <w:rsid w:val="00861826"/>
    <w:rsid w:val="00873487"/>
    <w:rsid w:val="008C2D79"/>
    <w:rsid w:val="008D1D85"/>
    <w:rsid w:val="008E29A7"/>
    <w:rsid w:val="008F0FB5"/>
    <w:rsid w:val="00950083"/>
    <w:rsid w:val="00966E41"/>
    <w:rsid w:val="009670CA"/>
    <w:rsid w:val="009741FC"/>
    <w:rsid w:val="009A11A9"/>
    <w:rsid w:val="009B51AF"/>
    <w:rsid w:val="009D17AC"/>
    <w:rsid w:val="009E0D2F"/>
    <w:rsid w:val="009E1CB4"/>
    <w:rsid w:val="00A358E8"/>
    <w:rsid w:val="00A45ACC"/>
    <w:rsid w:val="00A64BB6"/>
    <w:rsid w:val="00A92572"/>
    <w:rsid w:val="00AE191D"/>
    <w:rsid w:val="00B5513E"/>
    <w:rsid w:val="00B560F3"/>
    <w:rsid w:val="00B8261A"/>
    <w:rsid w:val="00BC6AFD"/>
    <w:rsid w:val="00BD6ACF"/>
    <w:rsid w:val="00BE28BD"/>
    <w:rsid w:val="00C06076"/>
    <w:rsid w:val="00C22865"/>
    <w:rsid w:val="00C3609F"/>
    <w:rsid w:val="00C526B1"/>
    <w:rsid w:val="00C74EB3"/>
    <w:rsid w:val="00C86795"/>
    <w:rsid w:val="00C92234"/>
    <w:rsid w:val="00CA2E46"/>
    <w:rsid w:val="00CA6583"/>
    <w:rsid w:val="00CA75F5"/>
    <w:rsid w:val="00CB3EC3"/>
    <w:rsid w:val="00CD54EA"/>
    <w:rsid w:val="00CE61CE"/>
    <w:rsid w:val="00CF14E3"/>
    <w:rsid w:val="00D1186F"/>
    <w:rsid w:val="00D25DA0"/>
    <w:rsid w:val="00D40213"/>
    <w:rsid w:val="00D538B0"/>
    <w:rsid w:val="00D70861"/>
    <w:rsid w:val="00D950D5"/>
    <w:rsid w:val="00DC4A22"/>
    <w:rsid w:val="00DF050F"/>
    <w:rsid w:val="00DF63D0"/>
    <w:rsid w:val="00E2667C"/>
    <w:rsid w:val="00E443B0"/>
    <w:rsid w:val="00E533A2"/>
    <w:rsid w:val="00E64A21"/>
    <w:rsid w:val="00E849E5"/>
    <w:rsid w:val="00EC4A51"/>
    <w:rsid w:val="00EE43F5"/>
    <w:rsid w:val="00EF6908"/>
    <w:rsid w:val="00F260C9"/>
    <w:rsid w:val="00F27873"/>
    <w:rsid w:val="00F50B2F"/>
    <w:rsid w:val="00F828BD"/>
    <w:rsid w:val="00F8509B"/>
    <w:rsid w:val="00FE09A6"/>
    <w:rsid w:val="00FF11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91F587"/>
  <w15:chartTrackingRefBased/>
  <w15:docId w15:val="{CED3A542-774A-4064-89F2-DDB4642C4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701CD"/>
    <w:pPr>
      <w:widowControl w:val="0"/>
      <w:jc w:val="both"/>
    </w:pPr>
    <w:rPr>
      <w:lang w:val="en-GB"/>
    </w:rPr>
  </w:style>
  <w:style w:type="paragraph" w:styleId="2">
    <w:name w:val="heading 2"/>
    <w:basedOn w:val="a"/>
    <w:next w:val="a"/>
    <w:link w:val="20"/>
    <w:uiPriority w:val="9"/>
    <w:unhideWhenUsed/>
    <w:qFormat/>
    <w:rsid w:val="00D25DA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701C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701CD"/>
    <w:rPr>
      <w:sz w:val="18"/>
      <w:szCs w:val="18"/>
    </w:rPr>
  </w:style>
  <w:style w:type="paragraph" w:styleId="a5">
    <w:name w:val="footer"/>
    <w:basedOn w:val="a"/>
    <w:link w:val="a6"/>
    <w:uiPriority w:val="99"/>
    <w:unhideWhenUsed/>
    <w:rsid w:val="003701CD"/>
    <w:pPr>
      <w:tabs>
        <w:tab w:val="center" w:pos="4153"/>
        <w:tab w:val="right" w:pos="8306"/>
      </w:tabs>
      <w:snapToGrid w:val="0"/>
      <w:jc w:val="left"/>
    </w:pPr>
    <w:rPr>
      <w:sz w:val="18"/>
      <w:szCs w:val="18"/>
    </w:rPr>
  </w:style>
  <w:style w:type="character" w:customStyle="1" w:styleId="a6">
    <w:name w:val="页脚 字符"/>
    <w:basedOn w:val="a0"/>
    <w:link w:val="a5"/>
    <w:uiPriority w:val="99"/>
    <w:rsid w:val="003701CD"/>
    <w:rPr>
      <w:sz w:val="18"/>
      <w:szCs w:val="18"/>
    </w:rPr>
  </w:style>
  <w:style w:type="paragraph" w:styleId="a7">
    <w:name w:val="List Paragraph"/>
    <w:basedOn w:val="a"/>
    <w:uiPriority w:val="34"/>
    <w:qFormat/>
    <w:rsid w:val="00C92234"/>
    <w:pPr>
      <w:ind w:firstLineChars="200" w:firstLine="420"/>
    </w:pPr>
  </w:style>
  <w:style w:type="character" w:styleId="a8">
    <w:name w:val="Placeholder Text"/>
    <w:basedOn w:val="a0"/>
    <w:uiPriority w:val="99"/>
    <w:semiHidden/>
    <w:rsid w:val="00E2667C"/>
    <w:rPr>
      <w:color w:val="808080"/>
    </w:rPr>
  </w:style>
  <w:style w:type="character" w:customStyle="1" w:styleId="20">
    <w:name w:val="标题 2 字符"/>
    <w:basedOn w:val="a0"/>
    <w:link w:val="2"/>
    <w:uiPriority w:val="9"/>
    <w:rsid w:val="00D25DA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2</Pages>
  <Words>637</Words>
  <Characters>3631</Characters>
  <Application>Microsoft Office Word</Application>
  <DocSecurity>0</DocSecurity>
  <Lines>30</Lines>
  <Paragraphs>8</Paragraphs>
  <ScaleCrop>false</ScaleCrop>
  <Company/>
  <LinksUpToDate>false</LinksUpToDate>
  <CharactersWithSpaces>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行 华彧</dc:creator>
  <cp:keywords/>
  <dc:description/>
  <cp:lastModifiedBy>华彧 行</cp:lastModifiedBy>
  <cp:revision>115</cp:revision>
  <dcterms:created xsi:type="dcterms:W3CDTF">2023-05-15T03:54:00Z</dcterms:created>
  <dcterms:modified xsi:type="dcterms:W3CDTF">2023-05-15T15:17:00Z</dcterms:modified>
</cp:coreProperties>
</file>