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Noetfield Systems Inc. | SFF For-Profit Long-Form Application</w:t>
      </w:r>
    </w:p>
    <w:p>
      <w:r>
        <w:t>Confidential application material | Page 1</w:t>
      </w:r>
    </w:p>
    <w:p>
      <w:r>
        <w:t>SFF FOR-PROFIT LONG-FORM APPLICATION</w:t>
      </w:r>
    </w:p>
    <w:p>
      <w:r>
        <w:t>Noetfield Governed AI Execution Infrastructure</w:t>
      </w:r>
    </w:p>
    <w:p>
      <w:r>
        <w:t>Noetfield Systems Inc. | Base request USD $180,000 | 29 July 2026</w:t>
      </w:r>
    </w:p>
    <w:p>
      <w:r>
        <w:t>CURRENT EVIDENCE BOUNDARY. Noetfield is a live client-zero company and does not claim external customers, revenue, certification, or</w:t>
      </w:r>
    </w:p>
    <w:p>
      <w:r>
        <w:t>universal correctness. Current build checks establish execution integrity, request-to-artifact binding, provenance, and artifact availability;</w:t>
      </w:r>
    </w:p>
    <w:p>
      <w:r>
        <w:t>complete attempt evidence and semantic acceptance remain commissioning work. TrustField public demonstrations use synthetic data and</w:t>
      </w:r>
    </w:p>
    <w:p>
      <w:r>
        <w:t>do not file reports, hold funds, settle payments, or replace counsel.</w:t>
      </w:r>
    </w:p>
    <w:p>
      <w:r>
        <w:t>1. Basics</w:t>
      </w:r>
    </w:p>
    <w:p>
      <w:r>
        <w:t>What amount of funding is being requested, and for what period of time?</w:t>
      </w:r>
    </w:p>
    <w:p>
      <w:r>
        <w:t>Base request: USD $180,000 for 15 August 2026 through 14 August 2027. Minimum grant amount to consider: USD $25,000.</w:t>
      </w:r>
    </w:p>
    <w:p>
      <w:r>
        <w:t>Ambitious request: USD $450,000. Maximum useful amount: USD $750,000. The company would use an initial USD $35,000</w:t>
      </w:r>
    </w:p>
    <w:p>
      <w:r>
        <w:t>Speculation Grant, if awarded, for the highest-priority evidence-truth and acceptance-safety work.</w:t>
      </w:r>
    </w:p>
    <w:p>
      <w:r>
        <w:t>Your name (the person who filled out this application):</w:t>
      </w:r>
    </w:p>
    <w:p>
      <w:r>
        <w:t>Sina Kazemnezhad</w:t>
      </w:r>
    </w:p>
    <w:p>
      <w:r>
        <w:t>The name of the organization for which you are requesting funding:</w:t>
      </w:r>
    </w:p>
    <w:p>
      <w:r>
        <w:t>Noetfield Systems Inc.</w:t>
      </w:r>
    </w:p>
    <w:p>
      <w:r>
        <w:t>Organization structure, including the Board:</w:t>
      </w:r>
    </w:p>
    <w:p>
      <w:r>
        <w:t>Board of Directors: Sina Kazemnezhad, Sole Director. Executive and operating responsibility: Sina Kazemnezhad, Founder, CEO,</w:t>
      </w:r>
    </w:p>
    <w:p>
      <w:r>
        <w:t>Lead Systems Architect, Product Lead, and Grant Project Lead. The company currently has no paid employees. Under the base</w:t>
      </w:r>
    </w:p>
    <w:p>
      <w:r>
        <w:t>plan, one AI/Platform Engineer and specialist security, evaluation, product, UX, accessibility, and documentation contractors would</w:t>
      </w:r>
    </w:p>
    <w:p>
      <w:r>
        <w:t>report to the Founder. Under the ambitious plan, the team would expand to two AI/Platform Engineers, one dedicated</w:t>
      </w:r>
    </w:p>
    <w:p>
      <w:r>
        <w:t>Security/Evaluation Engineer or Researcher, and an expanded specialist contractor pool. A separate one-page organization chart</w:t>
      </w:r>
    </w:p>
    <w:p>
      <w:r>
        <w:t>depicts current and proposed reporting lines.</w:t>
      </w:r>
    </w:p>
    <w:p>
      <w:r>
        <w:t>A 1-2 sentence description of the organization's general activities:</w:t>
      </w:r>
    </w:p>
    <w:p>
      <w:r>
        <w:t>Noetfield Systems Inc. is a Vancouver-based AI-native systems company that builds governed execution infrastructure. Noetfield's current work includes the live client-zero execution application and SourceA / Runway execution and evidence infrastructure. TrustField is a separate venture whose synthetic regulated-workflow demonstrations provide a bounded validation context; it is not a Noetfield Systems Inc. product or subsidiary.</w:t>
      </w:r>
    </w:p>
    <w:p>
      <w:r>
        <w:t>Official name of the company receiving the grant:</w:t>
      </w:r>
    </w:p>
    <w:p>
      <w:r>
        <w:t>Noetfield Systems Inc.</w:t>
      </w:r>
    </w:p>
    <w:p>
      <w:r>
        <w:t>Foreign-equivalent tax ID number:</w:t>
      </w:r>
    </w:p>
    <w:p>
      <w:r>
        <w:t>Canada Business Number (BN): 754037638. BC program account: 754037638BC0001. British Columbia company number:</w:t>
      </w:r>
    </w:p>
    <w:p>
      <w:r>
        <w:t>BC1566177.</w:t>
      </w:r>
    </w:p>
    <w:p>
      <w:r>
        <w:t>2. Company history and current work</w:t>
      </w:r>
    </w:p>
    <w:p>
      <w:r>
        <w:t>Noetfield Systems Inc. was incorporated in British Columbia in 2025 after a founder-led period of research and development</w:t>
      </w:r>
    </w:p>
    <w:p>
      <w:r>
        <w:t>focused on a recurring problem: capable AI systems can generate outputs and take actions, while organizations often cannot</w:t>
      </w:r>
    </w:p>
    <w:p>
      <w:r>
        <w:t>determine which authority applied, whether the exact artifact was the one reviewed, what failed, or what evidence remains. The</w:t>
      </w:r>
    </w:p>
    <w:p>
      <w:r>
        <w:t>company has therefore concentrated on the execution boundary around AI rather than on a single model or chatbot.</w:t>
      </w:r>
    </w:p>
    <w:p>
      <w:r>
        <w:t>The company is early and founder-operated. It has built and deployed multiple public product surfaces and technical systems, but it</w:t>
      </w:r>
    </w:p>
    <w:p>
      <w:r>
        <w:t>has not yet established external users, revenue, or independently validated social impact. The grant proposal funds the transition</w:t>
      </w:r>
    </w:p>
    <w:p>
      <w:r>
        <w:t>from client-zero commissioning to a more complete, externally testable, public-interest implementation of governed AI execution.</w:t>
      </w:r>
    </w:p>
    <w:p>
      <w:r>
        <w:t>3. Track record summary</w:t>
      </w:r>
    </w:p>
    <w:p>
      <w:r>
        <w:t>3.1 Impact-relevant technical contributions to date</w:t>
      </w:r>
    </w:p>
    <w:p>
      <w:r>
        <w:t>Noetfield does not claim that its early work has already reduced existential risk or produced demonstrated long-term social impact.</w:t>
      </w:r>
    </w:p>
    <w:p>
      <w:r>
        <w:t>Its relevant track record is the implementation of design patterns that may help advanced AI systems remain subject to explicit</w:t>
      </w:r>
    </w:p>
    <w:p>
      <w:r>
        <w:t>authority, acceptance, and evidence as they are used in more consequential settings.</w:t>
      </w:r>
    </w:p>
    <w:p>
      <w:r>
        <w:t> Live governed-execution architecture. Noetfield has shipped a public client-zero system organized around bounded workers,</w:t>
      </w:r>
    </w:p>
    <w:p>
      <w:r>
        <w:t>deterministic controls, explicit authority, separate acceptance, safe stopping, and inspectable evidence rather than treating generation</w:t>
      </w:r>
    </w:p>
    <w:p>
      <w:r>
        <w:t>as completion.</w:t>
      </w:r>
    </w:p>
    <w:p>
      <w:r>
        <w:t> Evidence-before-claims discipline. After an internal audit showed that existing checks proved build integrity and artifact binding more</w:t>
      </w:r>
    </w:p>
    <w:p>
      <w:r>
        <w:t>strongly than semantic product quality, the company removed user-facing “quality-checked” language and replaced it with the narrower</w:t>
      </w:r>
    </w:p>
    <w:p>
      <w:r>
        <w:t>“build checks passed - ready for review” description.</w:t>
      </w:r>
    </w:p>
    <w:p>
      <w:r>
        <w:t>Noetfield Systems Inc. | SFF For-Profit Long-Form Application</w:t>
      </w:r>
    </w:p>
    <w:p>
      <w:r>
        <w:t>Confidential application material | Page 2</w:t>
      </w:r>
    </w:p>
    <w:p>
      <w:r>
        <w:t> TrustField separate-venture validation context. Within TrustField's own scope, synthetic workflow demonstrations cover case intake, analyst review, human FILE / NO-FILE / ESCALATE decisions, submission tracking, and evidence closure. TrustField explicitly states that it</w:t>
      </w:r>
    </w:p>
    <w:p>
      <w:r>
        <w:t>does not auto-file, certify compliance, hold funds, initiate payments, or perform settlement.</w:t>
      </w:r>
    </w:p>
    <w:p>
      <w:r>
        <w:t> Provider- and model-independent architecture. Noetfield separates authority, policy, acceptance, and evidence from any single</w:t>
      </w:r>
    </w:p>
    <w:p>
      <w:r>
        <w:t>model provider, supporting portability and reducing dependence on one opaque AI platform.</w:t>
      </w:r>
    </w:p>
    <w:p>
      <w:r>
        <w:t> Founder-built implementation capacity. The founder has built the interfaces, workflow systems, architecture, technical</w:t>
      </w:r>
    </w:p>
    <w:p>
      <w:r>
        <w:t>documentation, deployment surfaces, and internal commissioning assets without external financing or paid staff.</w:t>
      </w:r>
    </w:p>
    <w:p>
      <w:r>
        <w:t>3.2 Evidence links</w:t>
      </w:r>
    </w:p>
    <w:p>
      <w:r>
        <w:t> Noetfield Systems Inc. - company and governed-execution architecture</w:t>
      </w:r>
    </w:p>
    <w:p>
      <w:r>
        <w:t> Noetfield proof boundary and public evidence</w:t>
      </w:r>
    </w:p>
    <w:p>
      <w:r>
        <w:t> Noetfield client-zero application</w:t>
      </w:r>
    </w:p>
    <w:p>
      <w:r>
        <w:t> TrustField regulated-operations workflow surface</w:t>
      </w:r>
    </w:p>
    <w:p>
      <w:r>
        <w:t> SourceA execution platform and product surface</w:t>
      </w:r>
    </w:p>
    <w:p>
      <w:r>
        <w:t> Noetfield Systems public GitHub organization</w:t>
      </w:r>
    </w:p>
    <w:p>
      <w:r>
        <w:t>3.3 Why this work may matter</w:t>
      </w:r>
    </w:p>
    <w:p>
      <w:r>
        <w:t>As AI systems become cheaper, more agentic, and more widely embedded in software and institutional workflows, a central long-</w:t>
      </w:r>
    </w:p>
    <w:p>
      <w:r>
        <w:t>term risk is that practical authority concentrates in systems whose decisions cannot be reconstructed or challenged. Noetfield’s</w:t>
      </w:r>
    </w:p>
    <w:p>
      <w:r>
        <w:t>approach is to make authority, acceptance, and evidence first-class execution objects: who allowed an action, what boundaries</w:t>
      </w:r>
    </w:p>
    <w:p>
      <w:r>
        <w:t>applied, what artifact was produced, what checks ran, when the system stopped, and which human retained the final decision.</w:t>
      </w:r>
    </w:p>
    <w:p>
      <w:r>
        <w:t>This approach is relevant to both freedom and fairness. It can preserve organizational and individual control over consequential</w:t>
      </w:r>
    </w:p>
    <w:p>
      <w:r>
        <w:t>decisions, reduce dependence on a single model or platform, and make stronger execution controls available to smaller</w:t>
      </w:r>
    </w:p>
    <w:p>
      <w:r>
        <w:t>organizations that cannot build their own AI control infrastructure.</w:t>
      </w:r>
    </w:p>
    <w:p>
      <w:r>
        <w:t>4. Spending track record</w:t>
      </w:r>
    </w:p>
    <w:p>
      <w:r>
        <w:t>Roughly how has the organization spent funding over the last year?</w:t>
      </w:r>
    </w:p>
    <w:p>
      <w:r>
        <w:t>The company has been founder-financed. Cash spending has primarily covered incorporation and administration, domains, cloud</w:t>
      </w:r>
    </w:p>
    <w:p>
      <w:r>
        <w:t>hosting, AI/model and developer-tool usage, databases, software infrastructure, and deployments. The founder has contributed the</w:t>
      </w:r>
    </w:p>
    <w:p>
      <w:r>
        <w:t>majority of research, architecture, product design, engineering, and operations as unpaid labour. No investor or grant funds have</w:t>
      </w:r>
    </w:p>
    <w:p>
      <w:r>
        <w:t>been received.</w:t>
      </w:r>
    </w:p>
    <w:p>
      <w:r>
        <w:t>The prior year is not representative of the proposed funded period. The company has operated through founder sacrifice and very</w:t>
      </w:r>
    </w:p>
    <w:p>
      <w:r>
        <w:t>small direct expenditures. The proposed grant creates the first stable compensation, dedicated engineering capacity, external</w:t>
      </w:r>
    </w:p>
    <w:p>
      <w:r>
        <w:t>review budget, and structured public-interest release program.</w:t>
      </w:r>
    </w:p>
    <w:p>
      <w:r>
        <w:t>5. Activities in need of funding</w:t>
      </w:r>
    </w:p>
    <w:p>
      <w:r>
        <w:t>5.1 Base 12-month program</w:t>
      </w:r>
    </w:p>
    <w:p>
      <w:r>
        <w:t> Complete evidence truth: write a complete append-only record for every execution attempt, including failures, costs, retries, artifacts,</w:t>
      </w:r>
    </w:p>
    <w:p>
      <w:r>
        <w:t>and consistency checks that fail closed when evidence is missing.</w:t>
      </w:r>
    </w:p>
    <w:p>
      <w:r>
        <w:t> Harden acceptance safety: separate verifier identity from worker identity, fence coerced or fallback outputs from automatic promotion,</w:t>
      </w:r>
    </w:p>
    <w:p>
      <w:r>
        <w:t>add semantic acceptance packs, and test adversarial failure paths.</w:t>
      </w:r>
    </w:p>
    <w:p>
      <w:r>
        <w:t> Expand explicit authority: workflow-level permissions, budgets, human approval gates, escalation conditions, reversible-action rules,</w:t>
      </w:r>
    </w:p>
    <w:p>
      <w:r>
        <w:t>and safe-stop behavior for consequential AI work.</w:t>
      </w:r>
    </w:p>
    <w:p>
      <w:r>
        <w:t> Validate through TrustField: use regulated-operations workflows to test human decision preservation, evidence completeness,</w:t>
      </w:r>
    </w:p>
    <w:p>
      <w:r>
        <w:t>exception routing, and bounded automation without custody, settlement, auto-filing, or certification claims.</w:t>
      </w:r>
    </w:p>
    <w:p>
      <w:r>
        <w:t> Publish selected public goods: schemas, evaluation packs, reference workflows, threat models, incident lessons, and</w:t>
      </w:r>
    </w:p>
    <w:p>
      <w:r>
        <w:t>implementation guidance that can be reused by other teams.</w:t>
      </w:r>
    </w:p>
    <w:p>
      <w:r>
        <w:t> Improve accessibility and adoption: simplify the product for small organizations, document limitations clearly, and conduct structured</w:t>
      </w:r>
    </w:p>
    <w:p>
      <w:r>
        <w:t>external testing with users and domain experts.</w:t>
      </w:r>
    </w:p>
    <w:p>
      <w:r>
        <w:t>Noetfield Systems Inc. | SFF For-Profit Long-Form Application</w:t>
      </w:r>
    </w:p>
    <w:p>
      <w:r>
        <w:t>Confidential application material | Page 3</w:t>
      </w:r>
    </w:p>
    <w:p>
      <w:r>
        <w:t>5.2 Base budget</w:t>
      </w:r>
    </w:p>
    <w:p>
      <w:r>
        <w:t>Budget item USD</w:t>
      </w:r>
    </w:p>
    <w:p>
      <w:r>
        <w:t>Founder / CEO / Lead Systems Architect compensation $60,000</w:t>
      </w:r>
    </w:p>
    <w:p>
      <w:r>
        <w:t>AI / Platform Engineer compensation $60,000</w:t>
      </w:r>
    </w:p>
    <w:p>
      <w:r>
        <w:t>Security, evaluation, product, UX, and documentation contractors $20,000</w:t>
      </w:r>
    </w:p>
    <w:p>
      <w:r>
        <w:t>Cloud, AI-model, database, storage, monitoring, and deployment costs $15,000</w:t>
      </w:r>
    </w:p>
    <w:p>
      <w:r>
        <w:t>Independent security and evaluation review $8,000</w:t>
      </w:r>
    </w:p>
    <w:p>
      <w:r>
        <w:t>Legal, accounting, insurance, and corporate administration $7,000</w:t>
      </w:r>
    </w:p>
    <w:p>
      <w:r>
        <w:t>Accessibility, user research, documentation, and public-interest releases $5,000</w:t>
      </w:r>
    </w:p>
    <w:p>
      <w:r>
        <w:t>Contingency $5,000</w:t>
      </w:r>
    </w:p>
    <w:p>
      <w:r>
        <w:t>TOTAL BASE REQUEST $180,000</w:t>
      </w:r>
    </w:p>
    <w:p>
      <w:r>
        <w:t>5.3 Partial-funding scenarios</w:t>
      </w:r>
    </w:p>
    <w:p>
      <w:r>
        <w:t>Funding level Amount Program delivered</w:t>
      </w:r>
    </w:p>
    <w:p>
      <w:r>
        <w:t>25% $45,000</w:t>
      </w:r>
    </w:p>
    <w:p>
      <w:r>
        <w:t>Founder continuity for a narrow 90-day program;</w:t>
      </w:r>
    </w:p>
    <w:p>
      <w:r>
        <w:t>complete the most urgent evidence-truth and</w:t>
      </w:r>
    </w:p>
    <w:p>
      <w:r>
        <w:t>acceptance-safety work; publish one reference</w:t>
      </w:r>
    </w:p>
    <w:p>
      <w:r>
        <w:t>evaluation pack.</w:t>
      </w:r>
    </w:p>
    <w:p>
      <w:r>
        <w:t>50% $90,000</w:t>
      </w:r>
    </w:p>
    <w:p>
      <w:r>
        <w:t>Add part-time engineering capacity, external</w:t>
      </w:r>
    </w:p>
    <w:p>
      <w:r>
        <w:t>security/evaluation support, and one structured</w:t>
      </w:r>
    </w:p>
    <w:p>
      <w:r>
        <w:t>TrustField validation cohort.</w:t>
      </w:r>
    </w:p>
    <w:p>
      <w:r>
        <w:t>75% $135,000</w:t>
      </w:r>
    </w:p>
    <w:p>
      <w:r>
        <w:t>Add broader authority controls,</w:t>
      </w:r>
    </w:p>
    <w:p>
      <w:r>
        <w:t>accessibility/documentation work, and independent</w:t>
      </w:r>
    </w:p>
    <w:p>
      <w:r>
        <w:t>review of the first externally tested workflows.</w:t>
      </w:r>
    </w:p>
    <w:p>
      <w:r>
        <w:t>100% $180,000</w:t>
      </w:r>
    </w:p>
    <w:p>
      <w:r>
        <w:t>Deliver the full 12-month program, including</w:t>
      </w:r>
    </w:p>
    <w:p>
      <w:r>
        <w:t>dedicated engineering, independent review, public</w:t>
      </w:r>
    </w:p>
    <w:p>
      <w:r>
        <w:t>goods, and external validation across Noetfield and</w:t>
      </w:r>
    </w:p>
    <w:p>
      <w:r>
        <w:t>TrustField workflows.</w:t>
      </w:r>
    </w:p>
    <w:p>
      <w:r>
        <w:t>5.4 Ambitious 12-month expansion</w:t>
      </w:r>
    </w:p>
    <w:p>
      <w:r>
        <w:t> Expand the core team. Add a second AI/Platform Engineer and a dedicated Security/Evaluation Engineer or Researcher, enabling</w:t>
      </w:r>
    </w:p>
    <w:p>
      <w:r>
        <w:t>parallel progress on runtime engineering, adversarial evaluation, product integration, and external testing.</w:t>
      </w:r>
    </w:p>
    <w:p>
      <w:r>
        <w:t> Increase independent challenge. Commission multiple external reviews and red-team exercises rather than relying on a single</w:t>
      </w:r>
    </w:p>
    <w:p>
      <w:r>
        <w:t>assessment cycle.</w:t>
      </w:r>
    </w:p>
    <w:p>
      <w:r>
        <w:t> Validate more consequential workflow classes. Extend beyond the first TrustField reference workflows to additional decision,</w:t>
      </w:r>
    </w:p>
    <w:p>
      <w:r>
        <w:t>document, and software-execution cases with explicit authority and evidence requirements.</w:t>
      </w:r>
    </w:p>
    <w:p>
      <w:r>
        <w:t> Publish a broader public evaluation suite. Release selected schemas, tests, reference workflows, failure cases, and implementation</w:t>
      </w:r>
    </w:p>
    <w:p>
      <w:r>
        <w:t>guidance under appropriate open licences while keeping security-sensitive details protected.</w:t>
      </w:r>
    </w:p>
    <w:p>
      <w:r>
        <w:t> Improve operational resilience. Add monitoring, deployment reliability, accessibility, documentation, and controlled user testing</w:t>
      </w:r>
    </w:p>
    <w:p>
      <w:r>
        <w:t>capacity sufficient for external pilots without weakening evidence boundaries.</w:t>
      </w:r>
    </w:p>
    <w:p>
      <w:r>
        <w:t>5.5 Ambitious budget summary</w:t>
      </w:r>
    </w:p>
    <w:p>
      <w:r>
        <w:t>Budget item USD</w:t>
      </w:r>
    </w:p>
    <w:p>
      <w:r>
        <w:t>Founder / CEO / Lead Systems Architect compensation $75,000</w:t>
      </w:r>
    </w:p>
    <w:p>
      <w:r>
        <w:t>Two AI / Platform Engineers $160,000</w:t>
      </w:r>
    </w:p>
    <w:p>
      <w:r>
        <w:t>Security / Evaluation Engineer or Researcher $60,000</w:t>
      </w:r>
    </w:p>
    <w:p>
      <w:r>
        <w:t>Product, UX, accessibility, and documentation contractors $35,000</w:t>
      </w:r>
    </w:p>
    <w:p>
      <w:r>
        <w:t>Cloud, AI models, databases, monitoring, and deployment $40,000</w:t>
      </w:r>
    </w:p>
    <w:p>
      <w:r>
        <w:t>Independent security, evaluation, and red-team review $25,000</w:t>
      </w:r>
    </w:p>
    <w:p>
      <w:r>
        <w:t>TrustField workflow evaluation and domain research $25,000</w:t>
      </w:r>
    </w:p>
    <w:p>
      <w:r>
        <w:t>Legal, accounting, insurance, and corporate administration $15,000</w:t>
      </w:r>
    </w:p>
    <w:p>
      <w:r>
        <w:t>Public-interest specifications and reusable evaluation assets $10,000</w:t>
      </w:r>
    </w:p>
    <w:p>
      <w:r>
        <w:t>Contingency $5,000</w:t>
      </w:r>
    </w:p>
    <w:p>
      <w:r>
        <w:t>Noetfield Systems Inc. | SFF For-Profit Long-Form Application</w:t>
      </w:r>
    </w:p>
    <w:p>
      <w:r>
        <w:t>Confidential application material | Page 4</w:t>
      </w:r>
    </w:p>
    <w:p>
      <w:r>
        <w:t>Budget item USD</w:t>
      </w:r>
    </w:p>
    <w:p>
      <w:r>
        <w:t>TOTAL AMBITIOUS REQUEST $450,000</w:t>
      </w:r>
    </w:p>
    <w:p>
      <w:r>
        <w:t>5.6 Twelve-month milestones and success measures</w:t>
      </w:r>
    </w:p>
    <w:p>
      <w:r>
        <w:t>Period Primary focus Expected evidence</w:t>
      </w:r>
    </w:p>
    <w:p>
      <w:r>
        <w:t>Months 1-3 Evidence truth and acceptance boundary</w:t>
      </w:r>
    </w:p>
    <w:p>
      <w:r>
        <w:t>Complete per-attempt evidence design and writer;</w:t>
      </w:r>
    </w:p>
    <w:p>
      <w:r>
        <w:t>fence coerced/fallback output; separate verifier</w:t>
      </w:r>
    </w:p>
    <w:p>
      <w:r>
        <w:t>identity; produce fresh internally consistent reference</w:t>
      </w:r>
    </w:p>
    <w:p>
      <w:r>
        <w:t>runs.</w:t>
      </w:r>
    </w:p>
    <w:p>
      <w:r>
        <w:t>Months 4-6 Authority controls and reference workflows</w:t>
      </w:r>
    </w:p>
    <w:p>
      <w:r>
        <w:t>Add workflow permissions, budgets, escalation and</w:t>
      </w:r>
    </w:p>
    <w:p>
      <w:r>
        <w:t>safe-stop rules; implement semantic acceptance</w:t>
      </w:r>
    </w:p>
    <w:p>
      <w:r>
        <w:t>packs; validate initial TrustField reference workflows.</w:t>
      </w:r>
    </w:p>
    <w:p>
      <w:r>
        <w:t>Months 7-9 External challenge and accessibility</w:t>
      </w:r>
    </w:p>
    <w:p>
      <w:r>
        <w:t>Conduct structured external testing; run independent</w:t>
      </w:r>
    </w:p>
    <w:p>
      <w:r>
        <w:t>security/evaluation review; improve product clarity,</w:t>
      </w:r>
    </w:p>
    <w:p>
      <w:r>
        <w:t>accessibility, and limitation disclosure.</w:t>
      </w:r>
    </w:p>
    <w:p>
      <w:r>
        <w:t>Months 10-12 Public goods and repeatable validation</w:t>
      </w:r>
    </w:p>
    <w:p>
      <w:r>
        <w:t>Publish selected specifications, evaluation assets,</w:t>
      </w:r>
    </w:p>
    <w:p>
      <w:r>
        <w:t>threat models, and lessons; complete a final program</w:t>
      </w:r>
    </w:p>
    <w:p>
      <w:r>
        <w:t>review with documented limitations and next-stage</w:t>
      </w:r>
    </w:p>
    <w:p>
      <w:r>
        <w:t>priorities.</w:t>
      </w:r>
    </w:p>
    <w:p>
      <w:r>
        <w:t>If seeking general support, how would SFF funds be allocated versus other funding?</w:t>
      </w:r>
    </w:p>
    <w:p>
      <w:r>
        <w:t>No other financing is currently available. SFF funds would be restricted internally to the program and budgets above. Any later</w:t>
      </w:r>
    </w:p>
    <w:p>
      <w:r>
        <w:t>revenue or investment would first extend runway, user support, and product operations; SFF funds would continue to cover safety,</w:t>
      </w:r>
    </w:p>
    <w:p>
      <w:r>
        <w:t>evidence, public-interest, accessibility, and validation activities that commercial financing is least likely to prioritize.</w:t>
      </w:r>
    </w:p>
    <w:p>
      <w:r>
        <w:t>Who would work on the funded activities?</w:t>
      </w:r>
    </w:p>
    <w:p>
      <w:r>
        <w:t>Sina Kazemnezhad would remain accountable as Founder, CEO, Lead Systems Architect, and Grant Project Lead. Under the base</w:t>
      </w:r>
    </w:p>
    <w:p>
      <w:r>
        <w:t>plan, one grant-funded AI/Platform Engineer would implement runtime, evidence, and product work, with specialist contractors</w:t>
      </w:r>
    </w:p>
    <w:p>
      <w:r>
        <w:t>supporting security review, evaluation design, product/UX, accessibility, documentation, and legal/accounting work. Under the</w:t>
      </w:r>
    </w:p>
    <w:p>
      <w:r>
        <w:t>ambitious plan, a second AI/Platform Engineer and a dedicated Security/Evaluation Engineer or Researcher would be added.</w:t>
      </w:r>
    </w:p>
    <w:p>
      <w:r>
        <w:t>Independent reviewers would challenge the program but would not replace management responsibility. No work would be delegated</w:t>
      </w:r>
    </w:p>
    <w:p>
      <w:r>
        <w:t>to an unaccountable autonomous system; human responsibility would remain explicit.</w:t>
      </w:r>
    </w:p>
    <w:p>
      <w:r>
        <w:t>6. Plan for impact</w:t>
      </w:r>
    </w:p>
    <w:p>
      <w:r>
        <w:t>Noetfield will improve humanity's long-term prospects by making increasingly capable AI systems more controllable, inspectable,</w:t>
      </w:r>
    </w:p>
    <w:p>
      <w:r>
        <w:t>and accountable at the point of execution while preserving human authority over consequential decisions. The requested non-</w:t>
      </w:r>
    </w:p>
    <w:p>
      <w:r>
        <w:t>dilutive grant will harden the shipped client-zero Noetfield runtime, expand its evidence and authority controls, validate those</w:t>
      </w:r>
    </w:p>
    <w:p>
      <w:r>
        <w:t>controls through TrustField's regulated-operations workflows, and publish selected specifications, tests, and lessons for broader</w:t>
      </w:r>
    </w:p>
    <w:p>
      <w:r>
        <w:t>reuse.</w:t>
      </w:r>
    </w:p>
    <w:p>
      <w:r>
        <w:t>Over the next three years, Noetfield intends to establish a practical reference architecture for governed AI execution: explicit</w:t>
      </w:r>
    </w:p>
    <w:p>
      <w:r>
        <w:t>authority before action, bounded work, independent acceptance, evidence after execution, and human final control for</w:t>
      </w:r>
    </w:p>
    <w:p>
      <w:r>
        <w:t>consequential outcomes. The company will use software delivery as a general execution testbed and TrustField as a high-</w:t>
      </w:r>
    </w:p>
    <w:p>
      <w:r>
        <w:t>consequence vertical where the difference between automation and accountable execution is concrete.</w:t>
      </w:r>
    </w:p>
    <w:p>
      <w:r>
        <w:t>The requested grant is unusually important because the work most relevant to public benefit - complete evidence, adverse-case</w:t>
      </w:r>
    </w:p>
    <w:p>
      <w:r>
        <w:t>testing, authority boundaries, accessibility, truthful limitations, and publishable specifications - is precisely the work that short-term</w:t>
      </w:r>
    </w:p>
    <w:p>
      <w:r>
        <w:t>commercial incentives often underfund. Non-dilutive support allows the company to strengthen these layers before growth pressure</w:t>
      </w:r>
    </w:p>
    <w:p>
      <w:r>
        <w:t>rewards weaker claims or premature automation.</w:t>
      </w:r>
    </w:p>
    <w:p>
      <w:r>
        <w:t>7. How the company will make money and preserve impact</w:t>
      </w:r>
    </w:p>
    <w:p>
      <w:r>
        <w:t>How will the company make money?</w:t>
      </w:r>
    </w:p>
    <w:p>
      <w:r>
        <w:t>Noetfield expects to earn revenue from recurring software subscriptions, hosted execution, deployment and support fees, licensed</w:t>
      </w:r>
    </w:p>
    <w:p>
      <w:r>
        <w:t>or customer-controlled installations, managed reliability, and specialized Noetfield workflow products and licensed execution infrastructure. Early revenue may</w:t>
      </w:r>
    </w:p>
    <w:p>
      <w:r>
        <w:t>include limited implementation work, but the long-term model is reusable software and execution infrastructure rather than selling</w:t>
      </w:r>
    </w:p>
    <w:p>
      <w:r>
        <w:t>hours. TrustField is excluded from Noetfield Systems Inc.'s revenue model unless a later written inter-entity agreement establishes a specific transaction. Selected safety specifications, schemas, and evaluation assets can remain public while hosted operation, enterprise</w:t>
      </w:r>
    </w:p>
    <w:p>
      <w:r>
        <w:t>features, integrations, and support generate revenue.</w:t>
      </w:r>
    </w:p>
    <w:p>
      <w:r>
        <w:t>How will revenue interact with the positive-impact plan, and what perverse incentives must be avoided?</w:t>
      </w:r>
    </w:p>
    <w:p>
      <w:r>
        <w:t>As the company grows, commercial pressure will favor speed, broader automation, platform lock-in, and stronger claims than the</w:t>
      </w:r>
    </w:p>
    <w:p>
      <w:r>
        <w:t>evidence supports. Noetfield will counter these incentives by separating generation from acceptance, keeping consequential actions</w:t>
      </w:r>
    </w:p>
    <w:p>
      <w:r>
        <w:t>behind explicit authority gates, preserving customer control and provider choice, measuring evidence completeness and failure</w:t>
      </w:r>
    </w:p>
    <w:p>
      <w:r>
        <w:t>handling alongside revenue, and using non-dilutive funding to publish safety-relevant specifications and limitations. The company</w:t>
      </w:r>
    </w:p>
    <w:p>
      <w:r>
        <w:t>will not describe a receipt as certification, will not market synthetic workflows as external deployment, and will not let revenue</w:t>
      </w:r>
    </w:p>
    <w:p>
      <w:r>
        <w:t>owners bypass acceptance or human-authority rules.</w:t>
      </w:r>
    </w:p>
    <w:p>
      <w:r>
        <w:t>Noetfield Systems Inc. | SFF For-Profit Long-Form Application</w:t>
      </w:r>
    </w:p>
    <w:p>
      <w:r>
        <w:t>Confidential application material | Page 5</w:t>
      </w:r>
    </w:p>
    <w:p>
      <w:r>
        <w:t>8. How the company will spend money</w:t>
      </w:r>
    </w:p>
    <w:p>
      <w:r>
        <w:t>What will be the largest expenses, within an order of magnitude?</w:t>
      </w:r>
    </w:p>
    <w:p>
      <w:r>
        <w:t>The largest early expenses will be technical staff, security/evaluation specialists, model and cloud infrastructure, and independent</w:t>
      </w:r>
    </w:p>
    <w:p>
      <w:r>
        <w:t>review. The USD $180,000 base plan supports the founder, one AI/Platform Engineer, and specialist contractors. The USD</w:t>
      </w:r>
    </w:p>
    <w:p>
      <w:r>
        <w:t>$450,000 ambitious plan expands the team to the founder, two AI/Platform Engineers, one dedicated Security/Evaluation Engineer</w:t>
      </w:r>
    </w:p>
    <w:p>
      <w:r>
        <w:t>or Researcher, and a larger contractor and independent-review program. If product usage and regulated deployments grow, annual</w:t>
      </w:r>
    </w:p>
    <w:p>
      <w:r>
        <w:t>operating costs may later rise into the USD $1-$5 million range due to engineering, security, reliability, support, insurance, and</w:t>
      </w:r>
    </w:p>
    <w:p>
      <w:r>
        <w:t>infrastructure.</w:t>
      </w:r>
    </w:p>
    <w:p>
      <w:r>
        <w:t>9. Investment plans and incentive protection</w:t>
      </w:r>
    </w:p>
    <w:p>
      <w:r>
        <w:t>Will the company raise, or has it raised, investments?</w:t>
      </w:r>
    </w:p>
    <w:p>
      <w:r>
        <w:t>Noetfield Systems Inc. has raised no investment or grant capital to date. The company may later seek pre-seed investment from AI-</w:t>
      </w:r>
    </w:p>
    <w:p>
      <w:r>
        <w:t>infrastructure, developer-tools, safety, or regulated-operations investors. It will avoid financing terms that require exclusivity to one</w:t>
      </w:r>
    </w:p>
    <w:p>
      <w:r>
        <w:t>model provider, weaken truthful product claims, transfer control of safety-critical acceptance logic, force premature deployment, or</w:t>
      </w:r>
    </w:p>
    <w:p>
      <w:r>
        <w:t>prevent publication of agreed public-interest specifications and evaluation results.</w:t>
      </w:r>
    </w:p>
    <w:p>
      <w:r>
        <w:t>10. Short-form alignment statements</w:t>
      </w:r>
    </w:p>
    <w:p>
      <w:r>
        <w:t>Positive impact plan (short form):</w:t>
      </w:r>
    </w:p>
    <w:p>
      <w:r>
        <w:t>Noetfield will improve humanity's long-term prospects by making increasingly capable AI systems more controllable, inspectable,</w:t>
      </w:r>
    </w:p>
    <w:p>
      <w:r>
        <w:t>and accountable at the point of execution while preserving human authority over consequential decisions. The requested non-</w:t>
      </w:r>
    </w:p>
    <w:p>
      <w:r>
        <w:t>dilutive grant will harden the shipped client-zero Noetfield runtime, expand its evidence and authority controls, validate those</w:t>
      </w:r>
    </w:p>
    <w:p>
      <w:r>
        <w:t>controls through TrustField's regulated-operations workflows, and publish selected specifications, tests, and lessons for broader</w:t>
      </w:r>
    </w:p>
    <w:p>
      <w:r>
        <w:t>reuse.</w:t>
      </w:r>
    </w:p>
    <w:p>
      <w:r>
        <w:t>Incentive alignment plan (short form):</w:t>
      </w:r>
    </w:p>
    <w:p>
      <w:r>
        <w:t>As the company grows, commercial pressure will favor speed, broader automation, platform lock-in, and stronger claims than the</w:t>
      </w:r>
    </w:p>
    <w:p>
      <w:r>
        <w:t>evidence supports. Noetfield will counter these incentives by separating generation from acceptance, keeping consequential actions</w:t>
      </w:r>
    </w:p>
    <w:p>
      <w:r>
        <w:t>behind explicit authority gates, preserving customer control and provider choice, measuring evidence completeness and failure</w:t>
      </w:r>
    </w:p>
    <w:p>
      <w:r>
        <w:t>handling alongside revenue, and using non-dilutive funding to publish safety-relevant specifications and limitations.</w:t>
      </w:r>
    </w:p>
    <w:p>
      <w:r>
        <w:t>Grant purpose (gerund phrase):</w:t>
      </w:r>
    </w:p>
    <w:p>
      <w:r>
        <w:t>hardening and expanding governed AI execution infrastructure for human-controlled, auditable, and accessible consequential</w:t>
      </w:r>
    </w:p>
    <w:p>
      <w:r>
        <w:t>workflows</w:t>
      </w:r>
    </w:p>
    <w:p>
      <w:r>
        <w:t>Fairness track explanation:</w:t>
      </w:r>
    </w:p>
    <w:p>
      <w:r>
        <w:t>Noetfield has already shipped a client-zero governed AI execution system and TrustField, a separate venture whose synthetic workflows demonstrate human decision gates and evidence boundaries within TrustField's own scope. The</w:t>
      </w:r>
    </w:p>
    <w:p>
      <w:r>
        <w:t>proposal expands this work so smaller organizations - not only large AI vendors or institutions - can access structured AI workflows,</w:t>
      </w:r>
    </w:p>
    <w:p>
      <w:r>
        <w:t>human approval gates, and inspectable evidence. It broadens access to AI capability and accountability while keeping decision</w:t>
      </w:r>
    </w:p>
    <w:p>
      <w:r>
        <w:t>power with the people and organizations affected.</w:t>
      </w:r>
    </w:p>
    <w:p>
      <w:r>
        <w:t>Freedom track explanation:</w:t>
      </w:r>
    </w:p>
    <w:p>
      <w:r>
        <w:t>Noetfield's shipped architecture is built around explicit authority: AI acts only within defined permissions, budgets, acceptance rules,</w:t>
      </w:r>
    </w:p>
    <w:p>
      <w:r>
        <w:t>and human decision gates. TrustField preserves human FILE / NO-FILE / ESCALATE decisions and leaves custody and settlement</w:t>
      </w:r>
    </w:p>
    <w:p>
      <w:r>
        <w:t>with the operator's chosen providers. The proposal extends this model so organizations can use AI without surrendering control,</w:t>
      </w:r>
    </w:p>
    <w:p>
      <w:r>
        <w:t>privacy, property, or operational sovereignty to one opaque platform.</w:t>
      </w:r>
    </w:p>
    <w:p>
      <w:r>
        <w:t>11. Current financing position</w:t>
      </w:r>
    </w:p>
    <w:p>
      <w:r>
        <w:t>Item Status</w:t>
      </w:r>
    </w:p>
    <w:p>
      <w:r>
        <w:t>Total external investment and grants received $0 USD</w:t>
      </w:r>
    </w:p>
    <w:p>
      <w:r>
        <w:t>Remaining unrestricted company funds Approximately $0 USD as of 29 July 2026</w:t>
      </w:r>
    </w:p>
    <w:p>
      <w:r>
        <w:t>Committed but not yet transferred $0 USD</w:t>
      </w:r>
    </w:p>
    <w:p>
      <w:r>
        <w:t>Current paid employees 0</w:t>
      </w:r>
    </w:p>
    <w:p>
      <w:r>
        <w:t>Current founder cash compensation $0 USD</w:t>
      </w:r>
    </w:p>
    <w:p>
      <w:r>
        <w:t>12. Closing statement</w:t>
      </w:r>
    </w:p>
    <w:p>
      <w:r>
        <w:t>Noetfield is applying as an early company with substantial founder-built technical work and no external funding, customers, or</w:t>
      </w:r>
    </w:p>
    <w:p>
      <w:r>
        <w:t>proven social impact. The case for funding is not that the mission is already complete; it is that the company has implemented a</w:t>
      </w:r>
    </w:p>
    <w:p>
      <w:r>
        <w:t>serious execution architecture, has demonstrated a willingness to narrow claims when evidence is insufficient, and now needs non-</w:t>
      </w:r>
    </w:p>
    <w:p>
      <w:r>
        <w:t>dilutive support to make authority, acceptance, evidence, and accessibility stronger before commercial incentives dominate the</w:t>
      </w:r>
    </w:p>
    <w:p>
      <w:r>
        <w:t>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