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非寿险准备金评估智能 Agent 系统使用说明书</w:t>
      </w:r>
    </w:p>
    <w:p>
      <w:pPr>
        <w:pStyle w:val="Heading1"/>
      </w:pPr>
      <w:r>
        <w:t>一、运行环境</w:t>
      </w:r>
    </w:p>
    <w:p>
      <w:r>
        <w:t>推荐使用 Python 3.10 及以上版本。需要安装 pandas、numpy、openpyxl、streamlit、plotly、python-docx、matplotlib。</w:t>
      </w:r>
    </w:p>
    <w:p>
      <w:pPr>
        <w:pStyle w:val="Heading1"/>
      </w:pPr>
      <w:r>
        <w:t>二、启动步骤</w:t>
      </w:r>
    </w:p>
    <w:p>
      <w:r>
        <w:t>1. 打开 PowerShell，进入大作业根目录。</w:t>
      </w:r>
    </w:p>
    <w:p>
      <w:r>
        <w:t>2. 执行 python -m pip install -r reserve_agent/requirements.txt 安装依赖。</w:t>
      </w:r>
    </w:p>
    <w:p>
      <w:r>
        <w:t>3. 执行 streamlit run reserve_agent/app.py 启动系统。</w:t>
      </w:r>
    </w:p>
    <w:p>
      <w:r>
        <w:t>4. 浏览器打开命令行显示的本地地址，一般为 http://localhost:8501。</w:t>
      </w:r>
    </w:p>
    <w:p>
      <w:pPr>
        <w:pStyle w:val="Heading1"/>
      </w:pPr>
      <w:r>
        <w:t>三、功能说明</w:t>
      </w:r>
    </w:p>
    <w:p>
      <w:r>
        <w:t>左侧栏可以选择 Excel 数据文件、赔案数据工作表、三角口径和期望赔付率参数。</w:t>
      </w:r>
    </w:p>
    <w:p>
      <w:r>
        <w:t>数据诊断页展示数据规模、空值、负金额、零赔案等提示。</w:t>
      </w:r>
    </w:p>
    <w:p>
      <w:r>
        <w:t>赔付三角页展示累计赔付进展三角和发展因子。</w:t>
      </w:r>
    </w:p>
    <w:p>
      <w:r>
        <w:t>模型结果页展示 Chain Ladder、ELR、BF 及展示口径的准备金对比。</w:t>
      </w:r>
    </w:p>
    <w:p>
      <w:r>
        <w:t>可视化页展示模型准备金柱状图和最终赔款趋势图。</w:t>
      </w:r>
    </w:p>
    <w:p>
      <w:r>
        <w:t>Agent 解释页输出可复制的规则型自动解释文本。</w:t>
      </w:r>
    </w:p>
    <w:p>
      <w:pPr>
        <w:pStyle w:val="Heading1"/>
      </w:pPr>
      <w:r>
        <w:t>四、注意事项</w:t>
      </w:r>
    </w:p>
    <w:p>
      <w:r>
        <w:t>初版默认读取 Chapter 08 - Data sets - Examples.xlsx 中的 Claims data 工作表。</w:t>
      </w:r>
    </w:p>
    <w:p>
      <w:r>
        <w:t>如上传新文件，应尽量保持 Claim ID、Loss Year、Type 和评估年份列的结构一致。</w:t>
      </w:r>
    </w:p>
    <w:p>
      <w:r>
        <w:t>系统支持可选 DeepSeek API 增强解释。若不启用 API，系统会自动使用规则型解释，不会产生调用费用。</w:t>
      </w:r>
    </w:p>
    <w:p>
      <w:r>
        <w:t>如需启用 DeepSeek，可在项目根目录创建 .env 文件，写入 DEEPSEEK_API_KEY=你的Key，也可以在系统侧边栏密码框临时输入。不要把真实 API key 写入报告或提交材料。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