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基于 SOA/CAS 规范的准备金评估智能 Agent 系统设计</w:t>
      </w:r>
    </w:p>
    <w:p>
      <w:pPr>
        <w:jc w:val="center"/>
      </w:pPr>
      <w:r>
        <w:rPr>
          <w:sz w:val="24"/>
        </w:rPr>
        <w:t>非寿险精算课程小组作业初版报告</w:t>
      </w:r>
    </w:p>
    <w:p>
      <w:pPr>
        <w:pStyle w:val="Heading1"/>
      </w:pPr>
      <w:r>
        <w:t>一、作业背景与系统目标</w:t>
      </w:r>
    </w:p>
    <w:p>
      <w:r>
        <w:t>非寿险公司的赔款具有发生、报告、定损、支付和结案之间存在时间差的特点。在财务报告日，保险公司需要估计已经发生但尚未完全支付的赔款责任，通常称为未决赔款准备金或 outstanding claim reserves。准备金估计直接影响偿付能力、利润确认、产品定价和经营决策，因此是非寿险精算工作中的核心环节。本作业按照课程要求，设计并实现一个轻量化准备金评估智能 Agent 系统。系统以 Excel 赔案数据为输入，自动完成数据导入、清洗诊断、赔付进展三角生成、模型运算、结果可视化和解释文本输出。</w:t>
      </w:r>
    </w:p>
    <w:p>
      <w:r>
        <w:t>初版系统暂不接入外部大模型 API，而采用规则型 Agent 思路：将准备金评估流程拆分为可自动执行的模块，并根据数据质量指标、模型差异和事故年贡献自动生成分析意见。这种设计可以降低 API 费用、网络和密钥管理风险，同时为后续接入 DeepSeek 等大模型保留清晰接口。</w:t>
      </w:r>
    </w:p>
    <w:p>
      <w:pPr>
        <w:pStyle w:val="Heading1"/>
      </w:pPr>
      <w:r>
        <w:t>二、规范依据与参考资料</w:t>
      </w:r>
    </w:p>
    <w:p>
      <w:r>
        <w:t>系统设计参考 CAS 教材 Estimating Unpaid Claims Using Basic Techniques 以及 SOA ASTAM Outstanding Claims Reserves 学习资料。CAS 教材强调准备金评估前的信息收集、发展三角构建、发展法、期望赔款法、Bornhuetter-Ferguson 法以及模型结果评价。SOA 资料则从未决赔款准备金的定义、run-off triangle 的时间维度、确定性链梯法和随机模型扩展等角度给出了较系统的理论框架。本初版系统主要实现基础确定性模型，并在结果解释中提示模型假设和适用条件。</w:t>
      </w:r>
    </w:p>
    <w:p>
      <w:r>
        <w:t>从精算规范角度看，一个准备金评估系统至少应做到：数据来源可追溯，关键假设可解释，模型过程可复核，结果披露包含不确定性提示。因此，本系统没有将 AI 简化为聊天接口，而是把 AI Agent 理解为能够自主执行准备金评估流程、识别数据问题、比较模型结果并输出解释的自动化程序。</w:t>
      </w:r>
    </w:p>
    <w:p>
      <w:pPr>
        <w:pStyle w:val="Heading1"/>
      </w:pPr>
      <w:r>
        <w:t>三、系统架构设计</w:t>
      </w:r>
    </w:p>
    <w:p>
      <w:r>
        <w:t>系统采用 Python + Streamlit 实现，代码按职责拆分为数据处理模块、准备金模型模块、解释模块和交互界面模块。数据处理模块负责读取 Excel、识别评估年列、展开赔案快照数据、按事故年和发展期生成累计赔付三角；模型模块负责计算发展因子、年龄到最终因子、最终赔款和准备金；解释模块负责根据规则生成数据诊断、模型推荐和结果摘要；Streamlit 页面负责提供上传、参数选择、表格展示和图表展示。</w:t>
      </w:r>
    </w:p>
    <w:p>
      <w:r>
        <w:t>该架构的优点是低耦合、易演示、易扩展。后续如果需要接入 DeepSeek API，只需要新增 LLM 客户端，并在解释模块中增加“若存在 API key 则调用大模型，否则使用规则解释”的分支，不需要重写数据处理或模型计算代码。</w:t>
      </w:r>
    </w:p>
    <w:p>
      <w:pPr>
        <w:pStyle w:val="Heading1"/>
      </w:pPr>
      <w:r>
        <w:t>四、数据来源与预处理</w:t>
      </w:r>
    </w:p>
    <w:p>
      <w:r>
        <w:t>初版使用文件 Chapter 08 - Data sets - Examples.xlsx 中的 Claims data 工作表。该工作表以赔案为单位，每个赔案包含 Paid、O/S 和 Incurred 三类度量，并按评估年份记录累计金额。系统默认采用 Paid 口径构建累计赔付三角，事故年为 Loss Year，发展期为 valuation year 减 Loss Year。</w:t>
      </w:r>
    </w:p>
    <w:p>
      <w:r>
        <w:t>系统读取到 4275 行赔案度量记录，涉及 1425 个唯一赔案。</w:t>
      </w:r>
    </w:p>
    <w:p>
      <w:r>
        <w:t>事故年范围为 2007-2014，评估年范围为 2007-2014。</w:t>
      </w:r>
    </w:p>
    <w:p>
      <w:r>
        <w:t>数据中存在 9106 个空值，主要来自三角右下角尚未观测的发展期或源表辅助列。</w:t>
      </w:r>
    </w:p>
    <w:p>
      <w:r>
        <w:t>有 931 行赔案度量在所有评估年金额均为 0，可视为未发生支付或已关闭零赔案。</w:t>
      </w:r>
    </w:p>
    <w:p>
      <w:r>
        <w:t>存在全发展期金额为 0 的赔案记录，系统已保留但在解释中提示关注。</w:t>
      </w:r>
    </w:p>
    <w:p>
      <w:r>
        <w:t>最末发展期观测不足，尾部因子需要谨慎判断。</w:t>
      </w:r>
    </w:p>
    <w:p>
      <w:pPr>
        <w:pStyle w:val="Heading1"/>
      </w:pPr>
      <w:r>
        <w:t>五、赔付进展三角构建</w:t>
      </w:r>
    </w:p>
    <w:p>
      <w:r>
        <w:t>设 C_{i,j} 表示事故年 i 在发展期 j 的累计已付赔款。系统首先将宽表中的评估年份列转换为长表，计算 development = valuation year - accident year，再按事故年和发展期汇总赔款金额，最后透视为三角矩阵。对于尚未观测的右下角单元格，系统保留为空值，不参与发展因子估计。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Accident Year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5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7</w:t>
            </w:r>
          </w:p>
        </w:tc>
      </w:tr>
      <w:tr>
        <w:tc>
          <w:tcPr>
            <w:tcW w:type="dxa" w:w="960"/>
          </w:tcPr>
          <w:p>
            <w:r>
              <w:t>2,007.00</w:t>
            </w:r>
          </w:p>
        </w:tc>
        <w:tc>
          <w:tcPr>
            <w:tcW w:type="dxa" w:w="960"/>
          </w:tcPr>
          <w:p>
            <w:r>
              <w:t>17,237.73</w:t>
            </w:r>
          </w:p>
        </w:tc>
        <w:tc>
          <w:tcPr>
            <w:tcW w:type="dxa" w:w="960"/>
          </w:tcPr>
          <w:p>
            <w:r>
              <w:t>88,394.29</w:t>
            </w:r>
          </w:p>
        </w:tc>
        <w:tc>
          <w:tcPr>
            <w:tcW w:type="dxa" w:w="960"/>
          </w:tcPr>
          <w:p>
            <w:r>
              <w:t>6,482,993.32</w:t>
            </w:r>
          </w:p>
        </w:tc>
        <w:tc>
          <w:tcPr>
            <w:tcW w:type="dxa" w:w="960"/>
          </w:tcPr>
          <w:p>
            <w:r>
              <w:t>12,385,075.52</w:t>
            </w:r>
          </w:p>
        </w:tc>
        <w:tc>
          <w:tcPr>
            <w:tcW w:type="dxa" w:w="960"/>
          </w:tcPr>
          <w:p>
            <w:r>
              <w:t>15,769,558.78</w:t>
            </w:r>
          </w:p>
        </w:tc>
        <w:tc>
          <w:tcPr>
            <w:tcW w:type="dxa" w:w="960"/>
          </w:tcPr>
          <w:p>
            <w:r>
              <w:t>34,242,022.98</w:t>
            </w:r>
          </w:p>
        </w:tc>
        <w:tc>
          <w:tcPr>
            <w:tcW w:type="dxa" w:w="960"/>
          </w:tcPr>
          <w:p>
            <w:r>
              <w:t>36,208,313.36</w:t>
            </w:r>
          </w:p>
        </w:tc>
        <w:tc>
          <w:tcPr>
            <w:tcW w:type="dxa" w:w="960"/>
          </w:tcPr>
          <w:p>
            <w:r>
              <w:t>36,208,313.36</w:t>
            </w:r>
          </w:p>
        </w:tc>
      </w:tr>
      <w:tr>
        <w:tc>
          <w:tcPr>
            <w:tcW w:type="dxa" w:w="960"/>
          </w:tcPr>
          <w:p>
            <w:r>
              <w:t>2,008.00</w:t>
            </w:r>
          </w:p>
        </w:tc>
        <w:tc>
          <w:tcPr>
            <w:tcW w:type="dxa" w:w="960"/>
          </w:tcPr>
          <w:p>
            <w:r>
              <w:t>126,215.59</w:t>
            </w:r>
          </w:p>
        </w:tc>
        <w:tc>
          <w:tcPr>
            <w:tcW w:type="dxa" w:w="960"/>
          </w:tcPr>
          <w:p>
            <w:r>
              <w:t>2,624,427.49</w:t>
            </w:r>
          </w:p>
        </w:tc>
        <w:tc>
          <w:tcPr>
            <w:tcW w:type="dxa" w:w="960"/>
          </w:tcPr>
          <w:p>
            <w:r>
              <w:t>7,852,214.87</w:t>
            </w:r>
          </w:p>
        </w:tc>
        <w:tc>
          <w:tcPr>
            <w:tcW w:type="dxa" w:w="960"/>
          </w:tcPr>
          <w:p>
            <w:r>
              <w:t>12,837,731.19</w:t>
            </w:r>
          </w:p>
        </w:tc>
        <w:tc>
          <w:tcPr>
            <w:tcW w:type="dxa" w:w="960"/>
          </w:tcPr>
          <w:p>
            <w:r>
              <w:t>20,597,215.63</w:t>
            </w:r>
          </w:p>
        </w:tc>
        <w:tc>
          <w:tcPr>
            <w:tcW w:type="dxa" w:w="960"/>
          </w:tcPr>
          <w:p>
            <w:r>
              <w:t>23,366,524.05</w:t>
            </w:r>
          </w:p>
        </w:tc>
        <w:tc>
          <w:tcPr>
            <w:tcW w:type="dxa" w:w="960"/>
          </w:tcPr>
          <w:p>
            <w:r>
              <w:t>23,956,559.05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2,009.00</w:t>
            </w:r>
          </w:p>
        </w:tc>
        <w:tc>
          <w:tcPr>
            <w:tcW w:type="dxa" w:w="960"/>
          </w:tcPr>
          <w:p>
            <w:r>
              <w:t>108,159.78</w:t>
            </w:r>
          </w:p>
        </w:tc>
        <w:tc>
          <w:tcPr>
            <w:tcW w:type="dxa" w:w="960"/>
          </w:tcPr>
          <w:p>
            <w:r>
              <w:t>1,038,302.27</w:t>
            </w:r>
          </w:p>
        </w:tc>
        <w:tc>
          <w:tcPr>
            <w:tcW w:type="dxa" w:w="960"/>
          </w:tcPr>
          <w:p>
            <w:r>
              <w:t>3,940,382.20</w:t>
            </w:r>
          </w:p>
        </w:tc>
        <w:tc>
          <w:tcPr>
            <w:tcW w:type="dxa" w:w="960"/>
          </w:tcPr>
          <w:p>
            <w:r>
              <w:t>9,588,529.68</w:t>
            </w:r>
          </w:p>
        </w:tc>
        <w:tc>
          <w:tcPr>
            <w:tcW w:type="dxa" w:w="960"/>
          </w:tcPr>
          <w:p>
            <w:r>
              <w:t>18,093,899.28</w:t>
            </w:r>
          </w:p>
        </w:tc>
        <w:tc>
          <w:tcPr>
            <w:tcW w:type="dxa" w:w="960"/>
          </w:tcPr>
          <w:p>
            <w:r>
              <w:t>18,185,678.02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2,010.00</w:t>
            </w:r>
          </w:p>
        </w:tc>
        <w:tc>
          <w:tcPr>
            <w:tcW w:type="dxa" w:w="960"/>
          </w:tcPr>
          <w:p>
            <w:r>
              <w:t>130,476.37</w:t>
            </w:r>
          </w:p>
        </w:tc>
        <w:tc>
          <w:tcPr>
            <w:tcW w:type="dxa" w:w="960"/>
          </w:tcPr>
          <w:p>
            <w:r>
              <w:t>19,837,427.95</w:t>
            </w:r>
          </w:p>
        </w:tc>
        <w:tc>
          <w:tcPr>
            <w:tcW w:type="dxa" w:w="960"/>
          </w:tcPr>
          <w:p>
            <w:r>
              <w:t>25,744,489.36</w:t>
            </w:r>
          </w:p>
        </w:tc>
        <w:tc>
          <w:tcPr>
            <w:tcW w:type="dxa" w:w="960"/>
          </w:tcPr>
          <w:p>
            <w:r>
              <w:t>108,693,428.55</w:t>
            </w:r>
          </w:p>
        </w:tc>
        <w:tc>
          <w:tcPr>
            <w:tcW w:type="dxa" w:w="960"/>
          </w:tcPr>
          <w:p>
            <w:r>
              <w:t>111,210,852.50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2,011.00</w:t>
            </w:r>
          </w:p>
        </w:tc>
        <w:tc>
          <w:tcPr>
            <w:tcW w:type="dxa" w:w="960"/>
          </w:tcPr>
          <w:p>
            <w:r>
              <w:t>93,637.17</w:t>
            </w:r>
          </w:p>
        </w:tc>
        <w:tc>
          <w:tcPr>
            <w:tcW w:type="dxa" w:w="960"/>
          </w:tcPr>
          <w:p>
            <w:r>
              <w:t>244,909.18</w:t>
            </w:r>
          </w:p>
        </w:tc>
        <w:tc>
          <w:tcPr>
            <w:tcW w:type="dxa" w:w="960"/>
          </w:tcPr>
          <w:p>
            <w:r>
              <w:t>961,066.54</w:t>
            </w:r>
          </w:p>
        </w:tc>
        <w:tc>
          <w:tcPr>
            <w:tcW w:type="dxa" w:w="960"/>
          </w:tcPr>
          <w:p>
            <w:r>
              <w:t>1,912,893.16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2,012.00</w:t>
            </w:r>
          </w:p>
        </w:tc>
        <w:tc>
          <w:tcPr>
            <w:tcW w:type="dxa" w:w="960"/>
          </w:tcPr>
          <w:p>
            <w:r>
              <w:t>40,103.12</w:t>
            </w:r>
          </w:p>
        </w:tc>
        <w:tc>
          <w:tcPr>
            <w:tcW w:type="dxa" w:w="960"/>
          </w:tcPr>
          <w:p>
            <w:r>
              <w:t>73,194.19</w:t>
            </w:r>
          </w:p>
        </w:tc>
        <w:tc>
          <w:tcPr>
            <w:tcW w:type="dxa" w:w="960"/>
          </w:tcPr>
          <w:p>
            <w:r>
              <w:t>1,413,038.48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2,013.00</w:t>
            </w:r>
          </w:p>
        </w:tc>
        <w:tc>
          <w:tcPr>
            <w:tcW w:type="dxa" w:w="960"/>
          </w:tcPr>
          <w:p>
            <w:r>
              <w:t>35,241.29</w:t>
            </w:r>
          </w:p>
        </w:tc>
        <w:tc>
          <w:tcPr>
            <w:tcW w:type="dxa" w:w="960"/>
          </w:tcPr>
          <w:p>
            <w:r>
              <w:t>81,240.55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2,014.00</w:t>
            </w:r>
          </w:p>
        </w:tc>
        <w:tc>
          <w:tcPr>
            <w:tcW w:type="dxa" w:w="960"/>
          </w:tcPr>
          <w:p>
            <w:r>
              <w:t>15,249.64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</w:tbl>
    <w:p>
      <w:pPr>
        <w:pStyle w:val="Heading1"/>
      </w:pPr>
      <w:r>
        <w:t>六、模型原理</w:t>
      </w:r>
    </w:p>
    <w:p>
      <w:r>
        <w:t>1. Chain Ladder 链梯法。</w:t>
      </w:r>
    </w:p>
    <w:p>
      <w:r>
        <w:t>链梯法假设历史赔款发展模式可以代表未来，通过累计赔款三角计算年龄到年龄发展因子，并将未成熟事故年的最新累计赔款外推至最终赔款。 年龄到年龄发展因子的体积加权估计为 f_j = sum_i C_{i,j+1} / sum_i C_{i,j}。 对于最新发展期为 k 的事故年，其最终赔款估计为 C_{i,k} 乘以从 k 到最终期的累计发展因子。</w:t>
      </w:r>
    </w:p>
    <w:p>
      <w:r>
        <w:t>2. Expected Loss Ratio 期望赔付率法。</w:t>
      </w:r>
    </w:p>
    <w:p>
      <w:r>
        <w:t>期望赔付率法基于先验赔付率或暴露量估计最终赔款，在早期事故年信息不足时可以作为稳定的基准模型。 初版系统使用暴露量表和可调期望赔付率参数形成先验最终赔款，并保证先验最终赔款不低于当前已观测累计赔款。</w:t>
      </w:r>
    </w:p>
    <w:p>
      <w:r>
        <w:t>3. Bornhuetter-Ferguson 法。</w:t>
      </w:r>
    </w:p>
    <w:p>
      <w:r>
        <w:t>BF 法将先验最终赔款与未报告比例结合，只对未成熟部分使用先验估计，因此比纯链梯法更能缓和早期年度波动。 设年龄到最终因子为 LDF，则已报告比例约为 1/LDF，未报告比例为 1 - 1/LDF。 BF 准备金 = 先验最终赔款 × 未报告比例，BF 最终赔款 = 最新累计赔款 + BF 准备金。</w:t>
      </w:r>
    </w:p>
    <w:p>
      <w:pPr>
        <w:pStyle w:val="Heading1"/>
      </w:pPr>
      <w:r>
        <w:t>七、模型结果与可视化</w:t>
      </w:r>
    </w:p>
    <w:p>
      <w:r>
        <w:t>下表为各事故年的模型结果对比。Selected 口径采用 Chain Ladder 与 BF 的均值，便于初版展示。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Accident Year</w:t>
            </w:r>
          </w:p>
        </w:tc>
        <w:tc>
          <w:tcPr>
            <w:tcW w:type="dxa" w:w="864"/>
          </w:tcPr>
          <w:p>
            <w:r>
              <w:t>Latest Cumulative</w:t>
            </w:r>
          </w:p>
        </w:tc>
        <w:tc>
          <w:tcPr>
            <w:tcW w:type="dxa" w:w="864"/>
          </w:tcPr>
          <w:p>
            <w:r>
              <w:t>Chain Ladder Ultimate</w:t>
            </w:r>
          </w:p>
        </w:tc>
        <w:tc>
          <w:tcPr>
            <w:tcW w:type="dxa" w:w="864"/>
          </w:tcPr>
          <w:p>
            <w:r>
              <w:t>Chain Ladder Reserve</w:t>
            </w:r>
          </w:p>
        </w:tc>
        <w:tc>
          <w:tcPr>
            <w:tcW w:type="dxa" w:w="864"/>
          </w:tcPr>
          <w:p>
            <w:r>
              <w:t>Expected Ultimate Loss</w:t>
            </w:r>
          </w:p>
        </w:tc>
        <w:tc>
          <w:tcPr>
            <w:tcW w:type="dxa" w:w="864"/>
          </w:tcPr>
          <w:p>
            <w:r>
              <w:t>ELR Reserve</w:t>
            </w:r>
          </w:p>
        </w:tc>
        <w:tc>
          <w:tcPr>
            <w:tcW w:type="dxa" w:w="864"/>
          </w:tcPr>
          <w:p>
            <w:r>
              <w:t>BF Ultimate Loss</w:t>
            </w:r>
          </w:p>
        </w:tc>
        <w:tc>
          <w:tcPr>
            <w:tcW w:type="dxa" w:w="864"/>
          </w:tcPr>
          <w:p>
            <w:r>
              <w:t>BF Reserve</w:t>
            </w:r>
          </w:p>
        </w:tc>
        <w:tc>
          <w:tcPr>
            <w:tcW w:type="dxa" w:w="864"/>
          </w:tcPr>
          <w:p>
            <w:r>
              <w:t>Selected Ultimate</w:t>
            </w:r>
          </w:p>
        </w:tc>
        <w:tc>
          <w:tcPr>
            <w:tcW w:type="dxa" w:w="864"/>
          </w:tcPr>
          <w:p>
            <w:r>
              <w:t>Selected Reserve</w:t>
            </w:r>
          </w:p>
        </w:tc>
      </w:tr>
      <w:tr>
        <w:tc>
          <w:tcPr>
            <w:tcW w:type="dxa" w:w="864"/>
          </w:tcPr>
          <w:p>
            <w:r>
              <w:t>2,007.00</w:t>
            </w:r>
          </w:p>
        </w:tc>
        <w:tc>
          <w:tcPr>
            <w:tcW w:type="dxa" w:w="864"/>
          </w:tcPr>
          <w:p>
            <w:r>
              <w:t>36,208,313.36</w:t>
            </w:r>
          </w:p>
        </w:tc>
        <w:tc>
          <w:tcPr>
            <w:tcW w:type="dxa" w:w="864"/>
          </w:tcPr>
          <w:p>
            <w:r>
              <w:t>36,208,313.36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36,208,313.36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36,208,313.36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36,208,313.36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2,008.00</w:t>
            </w:r>
          </w:p>
        </w:tc>
        <w:tc>
          <w:tcPr>
            <w:tcW w:type="dxa" w:w="864"/>
          </w:tcPr>
          <w:p>
            <w:r>
              <w:t>23,956,559.05</w:t>
            </w:r>
          </w:p>
        </w:tc>
        <w:tc>
          <w:tcPr>
            <w:tcW w:type="dxa" w:w="864"/>
          </w:tcPr>
          <w:p>
            <w:r>
              <w:t>23,956,559.05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23,956,559.05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23,956,559.05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23,956,559.05</w:t>
            </w:r>
          </w:p>
        </w:tc>
        <w:tc>
          <w:tcPr>
            <w:tcW w:type="dxa" w:w="864"/>
          </w:tcPr>
          <w:p>
            <w:r>
              <w:t>0.00</w:t>
            </w:r>
          </w:p>
        </w:tc>
      </w:tr>
      <w:tr>
        <w:tc>
          <w:tcPr>
            <w:tcW w:type="dxa" w:w="864"/>
          </w:tcPr>
          <w:p>
            <w:r>
              <w:t>2,009.00</w:t>
            </w:r>
          </w:p>
        </w:tc>
        <w:tc>
          <w:tcPr>
            <w:tcW w:type="dxa" w:w="864"/>
          </w:tcPr>
          <w:p>
            <w:r>
              <w:t>18,185,678.02</w:t>
            </w:r>
          </w:p>
        </w:tc>
        <w:tc>
          <w:tcPr>
            <w:tcW w:type="dxa" w:w="864"/>
          </w:tcPr>
          <w:p>
            <w:r>
              <w:t>18,992,650.47</w:t>
            </w:r>
          </w:p>
        </w:tc>
        <w:tc>
          <w:tcPr>
            <w:tcW w:type="dxa" w:w="864"/>
          </w:tcPr>
          <w:p>
            <w:r>
              <w:t>806,972.45</w:t>
            </w:r>
          </w:p>
        </w:tc>
        <w:tc>
          <w:tcPr>
            <w:tcW w:type="dxa" w:w="864"/>
          </w:tcPr>
          <w:p>
            <w:r>
              <w:t>18,185,678.02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18,958,363.29</w:t>
            </w:r>
          </w:p>
        </w:tc>
        <w:tc>
          <w:tcPr>
            <w:tcW w:type="dxa" w:w="864"/>
          </w:tcPr>
          <w:p>
            <w:r>
              <w:t>772,685.26</w:t>
            </w:r>
          </w:p>
        </w:tc>
        <w:tc>
          <w:tcPr>
            <w:tcW w:type="dxa" w:w="864"/>
          </w:tcPr>
          <w:p>
            <w:r>
              <w:t>18,975,506.88</w:t>
            </w:r>
          </w:p>
        </w:tc>
        <w:tc>
          <w:tcPr>
            <w:tcW w:type="dxa" w:w="864"/>
          </w:tcPr>
          <w:p>
            <w:r>
              <w:t>789,828.86</w:t>
            </w:r>
          </w:p>
        </w:tc>
      </w:tr>
      <w:tr>
        <w:tc>
          <w:tcPr>
            <w:tcW w:type="dxa" w:w="864"/>
          </w:tcPr>
          <w:p>
            <w:r>
              <w:t>2,010.00</w:t>
            </w:r>
          </w:p>
        </w:tc>
        <w:tc>
          <w:tcPr>
            <w:tcW w:type="dxa" w:w="864"/>
          </w:tcPr>
          <w:p>
            <w:r>
              <w:t>111,210,852.50</w:t>
            </w:r>
          </w:p>
        </w:tc>
        <w:tc>
          <w:tcPr>
            <w:tcW w:type="dxa" w:w="864"/>
          </w:tcPr>
          <w:p>
            <w:r>
              <w:t>161,642,796.63</w:t>
            </w:r>
          </w:p>
        </w:tc>
        <w:tc>
          <w:tcPr>
            <w:tcW w:type="dxa" w:w="864"/>
          </w:tcPr>
          <w:p>
            <w:r>
              <w:t>50,431,944.13</w:t>
            </w:r>
          </w:p>
        </w:tc>
        <w:tc>
          <w:tcPr>
            <w:tcW w:type="dxa" w:w="864"/>
          </w:tcPr>
          <w:p>
            <w:r>
              <w:t>111,210,852.50</w:t>
            </w:r>
          </w:p>
        </w:tc>
        <w:tc>
          <w:tcPr>
            <w:tcW w:type="dxa" w:w="864"/>
          </w:tcPr>
          <w:p>
            <w:r>
              <w:t>0.00</w:t>
            </w:r>
          </w:p>
        </w:tc>
        <w:tc>
          <w:tcPr>
            <w:tcW w:type="dxa" w:w="864"/>
          </w:tcPr>
          <w:p>
            <w:r>
              <w:t>145,908,219.88</w:t>
            </w:r>
          </w:p>
        </w:tc>
        <w:tc>
          <w:tcPr>
            <w:tcW w:type="dxa" w:w="864"/>
          </w:tcPr>
          <w:p>
            <w:r>
              <w:t>34,697,367.39</w:t>
            </w:r>
          </w:p>
        </w:tc>
        <w:tc>
          <w:tcPr>
            <w:tcW w:type="dxa" w:w="864"/>
          </w:tcPr>
          <w:p>
            <w:r>
              <w:t>153,775,508.26</w:t>
            </w:r>
          </w:p>
        </w:tc>
        <w:tc>
          <w:tcPr>
            <w:tcW w:type="dxa" w:w="864"/>
          </w:tcPr>
          <w:p>
            <w:r>
              <w:t>42,564,655.76</w:t>
            </w:r>
          </w:p>
        </w:tc>
      </w:tr>
      <w:tr>
        <w:tc>
          <w:tcPr>
            <w:tcW w:type="dxa" w:w="864"/>
          </w:tcPr>
          <w:p>
            <w:r>
              <w:t>2,011.00</w:t>
            </w:r>
          </w:p>
        </w:tc>
        <w:tc>
          <w:tcPr>
            <w:tcW w:type="dxa" w:w="864"/>
          </w:tcPr>
          <w:p>
            <w:r>
              <w:t>1,912,893.16</w:t>
            </w:r>
          </w:p>
        </w:tc>
        <w:tc>
          <w:tcPr>
            <w:tcW w:type="dxa" w:w="864"/>
          </w:tcPr>
          <w:p>
            <w:r>
              <w:t>3,209,825.71</w:t>
            </w:r>
          </w:p>
        </w:tc>
        <w:tc>
          <w:tcPr>
            <w:tcW w:type="dxa" w:w="864"/>
          </w:tcPr>
          <w:p>
            <w:r>
              <w:t>1,296,932.55</w:t>
            </w:r>
          </w:p>
        </w:tc>
        <w:tc>
          <w:tcPr>
            <w:tcW w:type="dxa" w:w="864"/>
          </w:tcPr>
          <w:p>
            <w:r>
              <w:t>17,678,108.12</w:t>
            </w:r>
          </w:p>
        </w:tc>
        <w:tc>
          <w:tcPr>
            <w:tcW w:type="dxa" w:w="864"/>
          </w:tcPr>
          <w:p>
            <w:r>
              <w:t>15,765,214.96</w:t>
            </w:r>
          </w:p>
        </w:tc>
        <w:tc>
          <w:tcPr>
            <w:tcW w:type="dxa" w:w="864"/>
          </w:tcPr>
          <w:p>
            <w:r>
              <w:t>9,055,746.36</w:t>
            </w:r>
          </w:p>
        </w:tc>
        <w:tc>
          <w:tcPr>
            <w:tcW w:type="dxa" w:w="864"/>
          </w:tcPr>
          <w:p>
            <w:r>
              <w:t>7,142,853.20</w:t>
            </w:r>
          </w:p>
        </w:tc>
        <w:tc>
          <w:tcPr>
            <w:tcW w:type="dxa" w:w="864"/>
          </w:tcPr>
          <w:p>
            <w:r>
              <w:t>6,132,786.04</w:t>
            </w:r>
          </w:p>
        </w:tc>
        <w:tc>
          <w:tcPr>
            <w:tcW w:type="dxa" w:w="864"/>
          </w:tcPr>
          <w:p>
            <w:r>
              <w:t>4,219,892.88</w:t>
            </w:r>
          </w:p>
        </w:tc>
      </w:tr>
      <w:tr>
        <w:tc>
          <w:tcPr>
            <w:tcW w:type="dxa" w:w="864"/>
          </w:tcPr>
          <w:p>
            <w:r>
              <w:t>2,012.00</w:t>
            </w:r>
          </w:p>
        </w:tc>
        <w:tc>
          <w:tcPr>
            <w:tcW w:type="dxa" w:w="864"/>
          </w:tcPr>
          <w:p>
            <w:r>
              <w:t>1,413,038.48</w:t>
            </w:r>
          </w:p>
        </w:tc>
        <w:tc>
          <w:tcPr>
            <w:tcW w:type="dxa" w:w="864"/>
          </w:tcPr>
          <w:p>
            <w:r>
              <w:t>7,665,338.76</w:t>
            </w:r>
          </w:p>
        </w:tc>
        <w:tc>
          <w:tcPr>
            <w:tcW w:type="dxa" w:w="864"/>
          </w:tcPr>
          <w:p>
            <w:r>
              <w:t>6,252,300.29</w:t>
            </w:r>
          </w:p>
        </w:tc>
        <w:tc>
          <w:tcPr>
            <w:tcW w:type="dxa" w:w="864"/>
          </w:tcPr>
          <w:p>
            <w:r>
              <w:t>21,475,854.00</w:t>
            </w:r>
          </w:p>
        </w:tc>
        <w:tc>
          <w:tcPr>
            <w:tcW w:type="dxa" w:w="864"/>
          </w:tcPr>
          <w:p>
            <w:r>
              <w:t>20,062,815.52</w:t>
            </w:r>
          </w:p>
        </w:tc>
        <w:tc>
          <w:tcPr>
            <w:tcW w:type="dxa" w:w="864"/>
          </w:tcPr>
          <w:p>
            <w:r>
              <w:t>18,930,005.73</w:t>
            </w:r>
          </w:p>
        </w:tc>
        <w:tc>
          <w:tcPr>
            <w:tcW w:type="dxa" w:w="864"/>
          </w:tcPr>
          <w:p>
            <w:r>
              <w:t>17,516,967.25</w:t>
            </w:r>
          </w:p>
        </w:tc>
        <w:tc>
          <w:tcPr>
            <w:tcW w:type="dxa" w:w="864"/>
          </w:tcPr>
          <w:p>
            <w:r>
              <w:t>13,297,672.25</w:t>
            </w:r>
          </w:p>
        </w:tc>
        <w:tc>
          <w:tcPr>
            <w:tcW w:type="dxa" w:w="864"/>
          </w:tcPr>
          <w:p>
            <w:r>
              <w:t>11,884,633.77</w:t>
            </w:r>
          </w:p>
        </w:tc>
      </w:tr>
      <w:tr>
        <w:tc>
          <w:tcPr>
            <w:tcW w:type="dxa" w:w="864"/>
          </w:tcPr>
          <w:p>
            <w:r>
              <w:t>2,013.00</w:t>
            </w:r>
          </w:p>
        </w:tc>
        <w:tc>
          <w:tcPr>
            <w:tcW w:type="dxa" w:w="864"/>
          </w:tcPr>
          <w:p>
            <w:r>
              <w:t>81,240.55</w:t>
            </w:r>
          </w:p>
        </w:tc>
        <w:tc>
          <w:tcPr>
            <w:tcW w:type="dxa" w:w="864"/>
          </w:tcPr>
          <w:p>
            <w:r>
              <w:t>855,253.63</w:t>
            </w:r>
          </w:p>
        </w:tc>
        <w:tc>
          <w:tcPr>
            <w:tcW w:type="dxa" w:w="864"/>
          </w:tcPr>
          <w:p>
            <w:r>
              <w:t>774,013.08</w:t>
            </w:r>
          </w:p>
        </w:tc>
        <w:tc>
          <w:tcPr>
            <w:tcW w:type="dxa" w:w="864"/>
          </w:tcPr>
          <w:p>
            <w:r>
              <w:t>22,146,942.22</w:t>
            </w:r>
          </w:p>
        </w:tc>
        <w:tc>
          <w:tcPr>
            <w:tcW w:type="dxa" w:w="864"/>
          </w:tcPr>
          <w:p>
            <w:r>
              <w:t>22,065,701.67</w:t>
            </w:r>
          </w:p>
        </w:tc>
        <w:tc>
          <w:tcPr>
            <w:tcW w:type="dxa" w:w="864"/>
          </w:tcPr>
          <w:p>
            <w:r>
              <w:t>20,124,444.62</w:t>
            </w:r>
          </w:p>
        </w:tc>
        <w:tc>
          <w:tcPr>
            <w:tcW w:type="dxa" w:w="864"/>
          </w:tcPr>
          <w:p>
            <w:r>
              <w:t>20,043,204.08</w:t>
            </w:r>
          </w:p>
        </w:tc>
        <w:tc>
          <w:tcPr>
            <w:tcW w:type="dxa" w:w="864"/>
          </w:tcPr>
          <w:p>
            <w:r>
              <w:t>10,489,849.13</w:t>
            </w:r>
          </w:p>
        </w:tc>
        <w:tc>
          <w:tcPr>
            <w:tcW w:type="dxa" w:w="864"/>
          </w:tcPr>
          <w:p>
            <w:r>
              <w:t>10,408,608.58</w:t>
            </w:r>
          </w:p>
        </w:tc>
      </w:tr>
      <w:tr>
        <w:tc>
          <w:tcPr>
            <w:tcW w:type="dxa" w:w="864"/>
          </w:tcPr>
          <w:p>
            <w:r>
              <w:t>2,014.00</w:t>
            </w:r>
          </w:p>
        </w:tc>
        <w:tc>
          <w:tcPr>
            <w:tcW w:type="dxa" w:w="864"/>
          </w:tcPr>
          <w:p>
            <w:r>
              <w:t>15,249.64</w:t>
            </w:r>
          </w:p>
        </w:tc>
        <w:tc>
          <w:tcPr>
            <w:tcW w:type="dxa" w:w="864"/>
          </w:tcPr>
          <w:p>
            <w:r>
              <w:t>6,988,212.84</w:t>
            </w:r>
          </w:p>
        </w:tc>
        <w:tc>
          <w:tcPr>
            <w:tcW w:type="dxa" w:w="864"/>
          </w:tcPr>
          <w:p>
            <w:r>
              <w:t>6,972,963.20</w:t>
            </w:r>
          </w:p>
        </w:tc>
        <w:tc>
          <w:tcPr>
            <w:tcW w:type="dxa" w:w="864"/>
          </w:tcPr>
          <w:p>
            <w:r>
              <w:t>21,861,024.39</w:t>
            </w:r>
          </w:p>
        </w:tc>
        <w:tc>
          <w:tcPr>
            <w:tcW w:type="dxa" w:w="864"/>
          </w:tcPr>
          <w:p>
            <w:r>
              <w:t>21,845,774.76</w:t>
            </w:r>
          </w:p>
        </w:tc>
        <w:tc>
          <w:tcPr>
            <w:tcW w:type="dxa" w:w="864"/>
          </w:tcPr>
          <w:p>
            <w:r>
              <w:t>21,828,569.03</w:t>
            </w:r>
          </w:p>
        </w:tc>
        <w:tc>
          <w:tcPr>
            <w:tcW w:type="dxa" w:w="864"/>
          </w:tcPr>
          <w:p>
            <w:r>
              <w:t>21,813,319.40</w:t>
            </w:r>
          </w:p>
        </w:tc>
        <w:tc>
          <w:tcPr>
            <w:tcW w:type="dxa" w:w="864"/>
          </w:tcPr>
          <w:p>
            <w:r>
              <w:t>14,408,390.93</w:t>
            </w:r>
          </w:p>
        </w:tc>
        <w:tc>
          <w:tcPr>
            <w:tcW w:type="dxa" w:w="864"/>
          </w:tcPr>
          <w:p>
            <w:r>
              <w:t>14,393,141.30</w:t>
            </w:r>
          </w:p>
        </w:tc>
      </w:tr>
    </w:tbl>
    <w:p>
      <w:r>
        <w:t>图 1 展示不同模型下各事故年的准备金差异。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e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 展示最新累计赔款与展示口径最终赔款的对比。</w:t>
      </w:r>
    </w:p>
    <w:p>
      <w:r>
        <w:drawing>
          <wp:inline xmlns:a="http://schemas.openxmlformats.org/drawingml/2006/main" xmlns:pic="http://schemas.openxmlformats.org/drawingml/2006/picture">
            <wp:extent cx="5669280" cy="3023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timate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截至当前评估期，累计已观测赔款约为 192.98m。</w:t>
      </w:r>
    </w:p>
    <w:p>
      <w:r>
        <w:t>Chain Ladder 估计准备金约为 66.54m，BF 估计准备金约为 101.99m。</w:t>
      </w:r>
    </w:p>
    <w:p>
      <w:r>
        <w:t>系统选取的展示口径为 Chain Ladder 与 BF 的均值，合计准备金约为 84.26m，对应最终赔款约为 277.24m。</w:t>
      </w:r>
    </w:p>
    <w:p>
      <w:r>
        <w:t>准备金贡献最高的事故年为 2010，占总展示准备金约 50.5%，应在后续分析中重点解释其赔款成熟度和发展因子影响。</w:t>
      </w:r>
    </w:p>
    <w:p>
      <w:r>
        <w:t>未决准备金占已观测赔款比例较高，建议以 Bornhuetter-Ferguson 作为主要参考，并保留 Chain Ladder 作为经验发展模式校验。</w:t>
      </w:r>
    </w:p>
    <w:p>
      <w:pPr>
        <w:pStyle w:val="Heading1"/>
      </w:pPr>
      <w:r>
        <w:t>八、代码实现说明</w:t>
      </w:r>
    </w:p>
    <w:p>
      <w:r>
        <w:t>代码目录 reserve_agent 中包含四个主要文件。data_processing.py 负责 Excel 读取、评估年份识别、累计三角构建和数据质量报告；reserving.py 实现 Chain Ladder、ELR、BF 和模型结果比较；explanation.py 实现规则型 Agent 的诊断和解释文本；app.py 是 Streamlit 交互界面，提供数据上传、参数选择、表格展示和图表展示。</w:t>
      </w:r>
    </w:p>
    <w:p>
      <w:r>
        <w:t>这种拆分使得模型计算可以脱离界面独立测试，也便于后续把解释模块替换为 DeepSeek API。例如后续可以新增 llm_client.py，读取环境变量 DEEPSEEK_API_KEY，将 comparison 表、发展因子和数据诊断传入大模型，返回自然语言解释。</w:t>
      </w:r>
    </w:p>
    <w:p>
      <w:pPr>
        <w:pStyle w:val="Heading1"/>
      </w:pPr>
      <w:r>
        <w:t>九、AI Agent 功能设计</w:t>
      </w:r>
    </w:p>
    <w:p>
      <w:r>
        <w:t>初版系统的智能性体现在自动化流程与规则推理，而非外部 API 调用。系统能够自动判断数据是否存在空值、负赔款、零赔案记录和最末发展期观测不足等问题；能够根据准备金占比、模型差异和事故年贡献给出模型选择建议；能够自动生成面向报告的解释文本，说明数据质量、模型结果、主要风险点和后续复核方向。</w:t>
      </w:r>
    </w:p>
    <w:p>
      <w:r>
        <w:t>后续增强版可以接入 DeepSeek API，实现自由问答和更自然的文字生成。为了控制风险，建议保留规则型解释作为 fallback：当 API key 缺失、余额不足或网络不可用时，系统仍然可以完整运行。</w:t>
      </w:r>
    </w:p>
    <w:p>
      <w:pPr>
        <w:pStyle w:val="Heading1"/>
      </w:pPr>
      <w:r>
        <w:t>十、挑战与解决方案</w:t>
      </w:r>
    </w:p>
    <w:p>
      <w:r>
        <w:t>第一，源数据不是标准三角，而是按赔案和评估年展开的快照表。解决方法是先识别评估年列，再将宽表转换成长表，并按事故年和发展期汇总。第二，较新事故年发展不成熟，链梯法结果对早期发展因子较敏感。解决方法是同时展示 BF 和 ELR，并在解释中提示成熟度风险。第三，课程要求融入 AI 元素，但 API 可能带来费用和稳定性问题。解决方法是先实现规则型 Agent 初版，保证可运行和可提交，再预留大模型接口作为后续扩展。</w:t>
      </w:r>
    </w:p>
    <w:p>
      <w:r>
        <w:t>在作业过程中，AI 辅助主要用于梳理系统架构、解释参考资料、设计模型流程、生成代码初稿和组织报告结构。人工复核仍然很重要，尤其是模型假设、发展因子选择、异常赔案处理和最终报告表述，需要结合课程知识进行判断。</w:t>
      </w:r>
    </w:p>
    <w:p>
      <w:pPr>
        <w:pStyle w:val="Heading1"/>
      </w:pPr>
      <w:r>
        <w:t>十一、小组分工</w:t>
      </w:r>
    </w:p>
    <w:p>
      <w:r>
        <w:t>初版分工可按模块划分：成员 A 负责数据清洗和三角构建；成员 B 负责 Chain Ladder、ELR 和 BF 模型；成员 C 负责 Streamlit 界面与可视化；成员 D 负责 Agent 解释模块、报告撰写和材料汇总。如小组人数调整，可将测试、截图和使用说明单独分配。</w:t>
      </w:r>
    </w:p>
    <w:p>
      <w:pPr>
        <w:pStyle w:val="Heading1"/>
      </w:pPr>
      <w:r>
        <w:t>十二、总结</w:t>
      </w:r>
    </w:p>
    <w:p>
      <w:r>
        <w:t>本作业初版完成了从赔案数据到准备金评估结果的完整自动化流程。系统虽然暂未接入外部大模型 API，但已经具备轻量化 Agent 的基本特征：自主读取数据、执行模型、诊断问题、输出结果并生成解释。后续可以在不改变核心模型代码的基础上接入 DeepSeek API，进一步增强自然语言交互和报告生成能力。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