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AGREEMENT TYPES</w:t>
      </w:r>
    </w:p>
    <w:p>
      <w:pPr>
        <w:jc w:val="center"/>
        <w:spacing w:after="360"/>
      </w:pPr>
      <w:r>
        <w:rPr>
          <w:sz w:val="20"/>
          <w:color w:val="555555"/>
        </w:rPr>
        <w:t xml:space="preserve">14 types, sorted by risk level</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Risk level drives the low-touch path. It is deliberately conservative: the cost of routing a simple NDA through review is an hour of somebody's time, and the cost of auto-approving a total facilities management contract is a multi-year commitment nobody read.</w:t>
      </w:r>
    </w:p>
    <w:p>
      <w:pPr>
        <w:spacing w:before="280" w:after="120"/>
      </w:pPr>
      <w:r>
        <w:rPr>
          <w:b/>
          <w:caps/>
          <w:sz w:val="24"/>
        </w:rPr>
        <w:t xml:space="preserve">HIGH RISK</w:t>
      </w:r>
    </w:p>
    <w:p>
      <w:pPr>
        <w:spacing w:after="160"/>
        <w:jc w:val="both"/>
      </w:pPr>
      <w:r>
        <w:rPr>
          <w:b/>
        </w:rPr>
        <w:t xml:space="preserve">Master Services Agreement. </w:t>
      </w:r>
      <w:r>
        <w:t xml:space="preserve">The umbrella every call-off hangs from. Its liability and indemnity terms govern work nobody has scoped yet, which is what makes it the highest-risk document in the estate.</w:t>
      </w:r>
    </w:p>
    <w:p>
      <w:pPr>
        <w:spacing w:after="160"/>
        <w:jc w:val="both"/>
      </w:pPr>
      <w:r>
        <w:t xml:space="preserve">Typical term 3 years · schedules required. Code: msa.</w:t>
      </w:r>
    </w:p>
    <w:p>
      <w:pPr>
        <w:spacing w:after="160"/>
        <w:jc w:val="both"/>
      </w:pPr>
      <w:r>
        <w:rPr>
          <w:b/>
        </w:rPr>
        <w:t xml:space="preserve">Total Facilities Management Agreement. </w:t>
      </w:r>
      <w:r>
        <w:t xml:space="preserve">One supplier takes the whole estate. Highest value, longest term, and the hardest to exit: a failed TFM contract is an operational emergency, not a procurement problem.</w:t>
      </w:r>
    </w:p>
    <w:p>
      <w:pPr>
        <w:spacing w:after="160"/>
        <w:jc w:val="both"/>
      </w:pPr>
      <w:r>
        <w:t xml:space="preserve">Typical term 5 years · schedules required. Code: tfm.</w:t>
      </w:r>
    </w:p>
    <w:p>
      <w:pPr>
        <w:spacing w:after="160"/>
        <w:jc w:val="both"/>
      </w:pPr>
      <w:r>
        <w:rPr>
          <w:b/>
        </w:rPr>
        <w:t xml:space="preserve">Hard FM Services Agreement. </w:t>
      </w:r>
      <w:r>
        <w:t xml:space="preserve">Mechanical, electrical, plumbing, fire and lifts. Statutory compliance sits here: a lapse in fire or lift inspection is a criminal liability for the client, not just a service failure.</w:t>
      </w:r>
    </w:p>
    <w:p>
      <w:pPr>
        <w:spacing w:after="160"/>
        <w:jc w:val="both"/>
      </w:pPr>
      <w:r>
        <w:t xml:space="preserve">Typical term 3 years · schedules required. Code: hard_fm.</w:t>
      </w:r>
    </w:p>
    <w:p>
      <w:pPr>
        <w:spacing w:after="160"/>
        <w:jc w:val="both"/>
      </w:pPr>
      <w:r>
        <w:rPr>
          <w:b/>
        </w:rPr>
        <w:t xml:space="preserve">Framework Agreement. </w:t>
      </w:r>
      <w:r>
        <w:t xml:space="preserve">Several suppliers, no committed volume. High because it sets the terms for everything called off under it, often for years, and is frequently signed before anyone knows what will be bought.</w:t>
      </w:r>
    </w:p>
    <w:p>
      <w:pPr>
        <w:spacing w:after="160"/>
        <w:jc w:val="both"/>
      </w:pPr>
      <w:r>
        <w:t xml:space="preserve">Typical term 4 years · schedules required. Code: framework.</w:t>
      </w:r>
    </w:p>
    <w:p>
      <w:pPr>
        <w:spacing w:after="160"/>
        <w:jc w:val="both"/>
      </w:pPr>
      <w:r>
        <w:rPr>
          <w:b/>
        </w:rPr>
        <w:t xml:space="preserve">Data Processing Agreement. </w:t>
      </w:r>
      <w:r>
        <w:t xml:space="preserve">Where a supplier processes personal data: access control, CCTV, visitor management, occupancy analytics. High because the terms are largely non-negotiable in law and getting them wrong is a regulatory exposure rather than a commercial one.</w:t>
      </w:r>
    </w:p>
    <w:p>
      <w:pPr>
        <w:spacing w:after="160"/>
        <w:jc w:val="both"/>
      </w:pPr>
      <w:r>
        <w:t xml:space="preserve">Typical term matches parent · schedules required. Code: dpa.</w:t>
      </w:r>
    </w:p>
    <w:p>
      <w:pPr>
        <w:spacing w:after="160"/>
        <w:jc w:val="both"/>
      </w:pPr>
      <w:r>
        <w:rPr>
          <w:b/>
        </w:rPr>
        <w:t xml:space="preserve">Termination and Settlement Agreement. </w:t>
      </w:r>
      <w:r>
        <w:t xml:space="preserve">Ends a relationship and settles what is owed. High because it is usually drafted under pressure, waives rights permanently, and is the document most likely to be read by a court.</w:t>
      </w:r>
    </w:p>
    <w:p>
      <w:pPr>
        <w:spacing w:after="160"/>
        <w:jc w:val="both"/>
      </w:pPr>
      <w:r>
        <w:t xml:space="preserve">Typical term one-off · no schedules. Code: termination.</w:t>
      </w:r>
    </w:p>
    <w:p>
      <w:pPr>
        <w:spacing w:before="280" w:after="120"/>
      </w:pPr>
      <w:r>
        <w:rPr>
          <w:b/>
          <w:caps/>
          <w:sz w:val="24"/>
        </w:rPr>
        <w:t xml:space="preserve">MEDIUM RISK</w:t>
      </w:r>
    </w:p>
    <w:p>
      <w:pPr>
        <w:spacing w:after="160"/>
        <w:jc w:val="both"/>
      </w:pPr>
      <w:r>
        <w:rPr>
          <w:b/>
        </w:rPr>
        <w:t xml:space="preserve">Soft FM Services Agreement. </w:t>
      </w:r>
      <w:r>
        <w:t xml:space="preserve">Cleaning, catering, security, waste, grounds. Lower statutory exposure than hard FM, but the largest headcount, which is why TUPE almost always applies.</w:t>
      </w:r>
    </w:p>
    <w:p>
      <w:pPr>
        <w:spacing w:after="160"/>
        <w:jc w:val="both"/>
      </w:pPr>
      <w:r>
        <w:t xml:space="preserve">Typical term 3 years · schedules required. Code: soft_fm.</w:t>
      </w:r>
    </w:p>
    <w:p>
      <w:pPr>
        <w:spacing w:after="160"/>
        <w:jc w:val="both"/>
      </w:pPr>
      <w:r>
        <w:rPr>
          <w:b/>
        </w:rPr>
        <w:t xml:space="preserve">Planned Preventive Maintenance Agreement. </w:t>
      </w:r>
      <w:r>
        <w:t xml:space="preserve">Scheduled maintenance to a written regime. Medium rather than low because the schedule is the compliance evidence: if the regime is wrong, every visit against it is wrong.</w:t>
      </w:r>
    </w:p>
    <w:p>
      <w:pPr>
        <w:spacing w:after="160"/>
        <w:jc w:val="both"/>
      </w:pPr>
      <w:r>
        <w:t xml:space="preserve">Typical term 1 year · schedules required. Code: ppm.</w:t>
      </w:r>
    </w:p>
    <w:p>
      <w:pPr>
        <w:spacing w:after="160"/>
        <w:jc w:val="both"/>
      </w:pPr>
      <w:r>
        <w:rPr>
          <w:b/>
        </w:rPr>
        <w:t xml:space="preserve">Reactive Maintenance Call-Off. </w:t>
      </w:r>
      <w:r>
        <w:t xml:space="preserve">Called off against agreed rates when something breaks. The risk is not the individual job, it is that unpriced work accumulates past any approval threshold one call-off at a time.</w:t>
      </w:r>
    </w:p>
    <w:p>
      <w:pPr>
        <w:spacing w:after="160"/>
        <w:jc w:val="both"/>
      </w:pPr>
      <w:r>
        <w:t xml:space="preserve">Typical term 1 year · no schedules. Code: reactive.</w:t>
      </w:r>
    </w:p>
    <w:p>
      <w:pPr>
        <w:spacing w:after="160"/>
        <w:jc w:val="both"/>
      </w:pPr>
      <w:r>
        <w:rPr>
          <w:b/>
        </w:rPr>
        <w:t xml:space="preserve">Equipment Supply and Installation. </w:t>
      </w:r>
      <w:r>
        <w:t xml:space="preserve">Plant and equipment with installation. Title, warranty and defects liability matter more here than service levels, and the warranty usually outlives the installer's involvement.</w:t>
      </w:r>
    </w:p>
    <w:p>
      <w:pPr>
        <w:spacing w:after="160"/>
        <w:jc w:val="both"/>
      </w:pPr>
      <w:r>
        <w:t xml:space="preserve">Typical term project · schedules required. Code: equipment_supply.</w:t>
      </w:r>
    </w:p>
    <w:p>
      <w:pPr>
        <w:spacing w:after="160"/>
        <w:jc w:val="both"/>
      </w:pPr>
      <w:r>
        <w:rPr>
          <w:b/>
        </w:rPr>
        <w:t xml:space="preserve">Consultancy and Professional Services. </w:t>
      </w:r>
      <w:r>
        <w:t xml:space="preserve">Advice rather than labour: surveys, design, compliance audits. The exposure is professional indemnity and who owns the deliverable, not service credits.</w:t>
      </w:r>
    </w:p>
    <w:p>
      <w:pPr>
        <w:spacing w:after="160"/>
        <w:jc w:val="both"/>
      </w:pPr>
      <w:r>
        <w:t xml:space="preserve">Typical term project · no schedules. Code: consultancy.</w:t>
      </w:r>
    </w:p>
    <w:p>
      <w:pPr>
        <w:spacing w:after="160"/>
        <w:jc w:val="both"/>
      </w:pPr>
      <w:r>
        <w:rPr>
          <w:b/>
        </w:rPr>
        <w:t xml:space="preserve">Variation Agreement. </w:t>
      </w:r>
      <w:r>
        <w:t xml:space="preserve">Amends an existing contract. The risk is not the change but the drift: a chain of small variations can move a contract a long way from what was approved, and each one looks small.</w:t>
      </w:r>
    </w:p>
    <w:p>
      <w:pPr>
        <w:spacing w:after="160"/>
        <w:jc w:val="both"/>
      </w:pPr>
      <w:r>
        <w:t xml:space="preserve">Typical term matches parent · no schedules. Code: variation.</w:t>
      </w:r>
    </w:p>
    <w:p>
      <w:pPr>
        <w:spacing w:before="280" w:after="120"/>
      </w:pPr>
      <w:r>
        <w:rPr>
          <w:b/>
          <w:caps/>
          <w:sz w:val="24"/>
        </w:rPr>
        <w:t xml:space="preserve">LOW RISK</w:t>
      </w:r>
    </w:p>
    <w:p>
      <w:pPr>
        <w:spacing w:after="160"/>
        <w:jc w:val="both"/>
      </w:pPr>
      <w:r>
        <w:rPr>
          <w:b/>
        </w:rPr>
        <w:t xml:space="preserve">Statement of Work. </w:t>
      </w:r>
      <w:r>
        <w:t xml:space="preserve">Scoped work under an existing MSA. Low only because the MSA already carries the liability and indemnity terms: a SOW with no parent agreement is not low risk and must not use this type.</w:t>
      </w:r>
    </w:p>
    <w:p>
      <w:pPr>
        <w:spacing w:after="160"/>
        <w:jc w:val="both"/>
      </w:pPr>
      <w:r>
        <w:t xml:space="preserve">Typical term project · no schedules. Code: sow.</w:t>
      </w:r>
    </w:p>
    <w:p>
      <w:pPr>
        <w:spacing w:after="160"/>
        <w:jc w:val="both"/>
      </w:pPr>
      <w:r>
        <w:rPr>
          <w:b/>
        </w:rPr>
        <w:t xml:space="preserve">Non-Disclosure Agreement. </w:t>
      </w:r>
      <w:r>
        <w:t xml:space="preserve">Signed before anything else, usually in volume, usually on our paper. The genuine low-touch case: standard wording, no value, no service obligation.</w:t>
      </w:r>
    </w:p>
    <w:p>
      <w:pPr>
        <w:spacing w:after="160"/>
        <w:jc w:val="both"/>
      </w:pPr>
      <w:r>
        <w:t xml:space="preserve">Typical term 2 years · no schedules. Code: nda.</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Agreement Types</dc:title>
  <dc:creator>Default catalogue</dc:creator>
  <cp:lastModifiedBy>Default catalogue</cp:lastModifiedBy>
  <cp:revision>1</cp:revision>
  <dcterms:created xsi:type="dcterms:W3CDTF">2026-09-07T05:01:26Z</dcterms:created>
</cp:coreProperties>
</file>