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CLAUSE PLAYBOOK</w:t>
      </w:r>
    </w:p>
    <w:p>
      <w:pPr>
        <w:jc w:val="center"/>
        <w:spacing w:after="360"/>
      </w:pPr>
      <w:r>
        <w:rPr>
          <w:sz w:val="20"/>
          <w:color w:val="555555"/>
        </w:rPr>
        <w:t xml:space="preserve">17 clauses · default catalogue for facilities management · generated 07 September 2026</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Each clause carries three positions. Standard is our opening position. Fallback is what we accept without escalation. Walk away is the point past which we do not sign. The third position is what makes the other two mean anything: a playbook with only a standard position produces one answer, "this differs from standard", which is true of every negotiated contract and tells nobody anything.</w:t>
      </w:r>
    </w:p>
    <w:p>
      <w:pPr>
        <w:spacing w:after="160"/>
        <w:jc w:val="both"/>
      </w:pPr>
      <w:r>
        <w:t xml:space="preserve">Where a position is a single comparable quantity it also carries a value and a unit, so a proposed term can be placed in the band by arithmetic rather than by reading. Red flags are the exception to that: wording that is unacceptable regardless of the number.</w:t>
      </w:r>
    </w:p>
    <w:p>
      <w:pPr>
        <w:spacing w:before="280" w:after="120"/>
      </w:pPr>
      <w:r>
        <w:rPr>
          <w:b/>
          <w:caps/>
          <w:sz w:val="24"/>
        </w:rPr>
        <w:t xml:space="preserve">1. LIMITATION OF LIABILITY</w:t>
      </w:r>
    </w:p>
    <w:p>
      <w:pPr>
        <w:spacing w:after="160"/>
        <w:jc w:val="both"/>
      </w:pPr>
      <w:r>
        <w:t xml:space="preserve">Clause reference 7.2 · category liability · risk weight 5/5 · change type Liability/Risk</w:t>
      </w:r>
    </w:p>
    <w:p>
      <w:pPr>
        <w:spacing w:after="160"/>
        <w:jc w:val="both"/>
      </w:pPr>
      <w:r>
        <w:rPr>
          <w:b/>
        </w:rPr>
        <w:t xml:space="preserve">Standard. </w:t>
      </w:r>
      <w:r>
        <w:t xml:space="preserve">[125% of annual charges] Liability capped at 125% of the annual charges, uncapped for death or personal injury, fraud, and breach of confidentiality.</w:t>
      </w:r>
    </w:p>
    <w:p>
      <w:pPr>
        <w:spacing w:after="160"/>
        <w:jc w:val="both"/>
      </w:pPr>
      <w:r>
        <w:rPr>
          <w:b/>
        </w:rPr>
        <w:t xml:space="preserve">Fallback. </w:t>
      </w:r>
      <w:r>
        <w:t xml:space="preserve">[100% of annual charges] 100% of annual charges, with the same uncapped carve-outs.</w:t>
      </w:r>
    </w:p>
    <w:p>
      <w:pPr>
        <w:spacing w:after="160"/>
        <w:jc w:val="both"/>
      </w:pPr>
      <w:r>
        <w:rPr>
          <w:b/>
        </w:rPr>
        <w:t xml:space="preserve">Walk away. </w:t>
      </w:r>
      <w:r>
        <w:t xml:space="preserve">[100% of annual charges] Below 100% of annual charges, or any cap applied to death, personal injury or fraud.</w:t>
      </w:r>
    </w:p>
    <w:p>
      <w:pPr>
        <w:spacing w:after="160"/>
        <w:jc w:val="both"/>
      </w:pPr>
      <w:r>
        <w:rPr>
          <w:b/>
        </w:rPr>
        <w:t xml:space="preserve">Band. </w:t>
      </w:r>
      <w:r>
        <w:t xml:space="preserve">Measured in percent annual charges; lower is worse.</w:t>
      </w:r>
    </w:p>
    <w:p>
      <w:pPr>
        <w:spacing w:after="160"/>
        <w:jc w:val="both"/>
      </w:pPr>
      <w:r>
        <w:rPr>
          <w:b/>
        </w:rPr>
        <w:t xml:space="preserve">Why. </w:t>
      </w:r>
      <w:r>
        <w:t xml:space="preserve">The carve-outs matter more than the number. A cap on liability for death or personal injury is void in the UK under UCTA 1977 section 2(1), so a supplier proposing one is proposing something unenforceable, and accepting it signals that nobody read it.</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 Record the position and move on.</w:t>
      </w:r>
    </w:p>
    <w:p>
      <w:pPr>
        <w:spacing w:after="160"/>
        <w:jc w:val="both"/>
      </w:pPr>
      <w:r>
        <w:rPr>
          <w:b/>
        </w:rPr>
        <w:t xml:space="preserve">In fallback. </w:t>
      </w:r>
      <w:r>
        <w:t xml:space="preserve">Contract Manager notes it; Legal is informed but does not need to sign. Check the carve-outs survived the reduction before accepting.</w:t>
      </w:r>
    </w:p>
    <w:p>
      <w:pPr>
        <w:spacing w:after="160"/>
        <w:jc w:val="both"/>
      </w:pPr>
      <w:r>
        <w:rPr>
          <w:b/>
        </w:rPr>
        <w:t xml:space="preserve">Past walk-away. </w:t>
      </w:r>
      <w:r>
        <w:t xml:space="preserve">Do not accept. Escalate to Head of Legal with the supplier's stated commercial reason attached.</w:t>
      </w:r>
    </w:p>
    <w:p>
      <w:pPr>
        <w:spacing w:after="160"/>
        <w:jc w:val="both"/>
      </w:pPr>
      <w:r>
        <w:rPr>
          <w:b/>
        </w:rPr>
        <w:t xml:space="preserve">Red flags. </w:t>
      </w:r>
      <w:r>
        <w:t xml:space="preserve">wording that is wrong at any number</w:t>
      </w:r>
    </w:p>
    <w:p>
      <w:pPr>
        <w:spacing w:after="160"/>
        <w:jc w:val="both"/>
      </w:pPr>
      <w:r>
        <w:t xml:space="preserve">-  Any cap expressed as covering death, personal injury or fraud: void under UCTA 1977 s.2(1) and a sign the drafter did not read it.</w:t>
      </w:r>
    </w:p>
    <w:p>
      <w:pPr>
        <w:spacing w:after="160"/>
        <w:jc w:val="both"/>
      </w:pPr>
      <w:r>
        <w:t xml:space="preserve">-  A cap stated as a fixed sum rather than a percentage of charges: it does not move with contract value on renewal or variation.</w:t>
      </w:r>
    </w:p>
    <w:p>
      <w:pPr>
        <w:spacing w:after="160"/>
        <w:jc w:val="both"/>
      </w:pPr>
      <w:r>
        <w:t xml:space="preserve">-  'Aggregate liability' silently redefined to run per claim year rather than for the whole term.</w:t>
      </w:r>
    </w:p>
    <w:p>
      <w:pPr>
        <w:spacing w:after="160"/>
        <w:jc w:val="both"/>
      </w:pPr>
      <w:r>
        <w:rPr>
          <w:b/>
        </w:rPr>
        <w:t xml:space="preserve">Tradeables. </w:t>
      </w:r>
      <w:r>
        <w:t xml:space="preserve">what may be conceded to hold this position, and what may not</w:t>
      </w:r>
    </w:p>
    <w:p>
      <w:pPr>
        <w:spacing w:after="160"/>
        <w:jc w:val="both"/>
      </w:pPr>
      <w:r>
        <w:t xml:space="preserve">-  A lower cap is arguable where the supplier accepts uncapped liability for data protection breach.</w:t>
      </w:r>
    </w:p>
    <w:p>
      <w:pPr>
        <w:spacing w:after="160"/>
        <w:jc w:val="both"/>
      </w:pPr>
      <w:r>
        <w:t xml:space="preserve">-  Never trade the death/personal injury/fraud carve-outs for a higher number: an unenforceable cap has no value.</w:t>
      </w:r>
    </w:p>
    <w:p>
      <w:pPr>
        <w:spacing w:after="160"/>
        <w:jc w:val="both"/>
      </w:pPr>
      <w:r>
        <w:rPr>
          <w:b/>
        </w:rPr>
        <w:t xml:space="preserve">Model wording. </w:t>
      </w:r>
      <w:r>
        <w:t xml:space="preserve">what a draft is generated from</w:t>
      </w:r>
    </w:p>
    <w:p>
      <w:pPr>
        <w:spacing w:after="160"/>
        <w:jc w:val="both"/>
      </w:pPr>
      <w:r>
        <w:t xml:space="preserve">The Supplier's aggregate liability arising out of or in connection with this Agreement, whether in contract, tort (including negligence), breach of statutory duty or otherwise, shall not exceed one hundred and twenty-five per cent (125%)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Also called. </w:t>
      </w:r>
      <w:r>
        <w:t xml:space="preserve">Limitation of Liability; Liability Cap; Cap on Liability; Limitation of Liability and Indemnity</w:t>
      </w:r>
    </w:p>
    <w:p>
      <w:pPr>
        <w:spacing w:before="280" w:after="120"/>
      </w:pPr>
      <w:r>
        <w:rPr>
          <w:b/>
          <w:caps/>
          <w:sz w:val="24"/>
        </w:rPr>
        <w:t xml:space="preserve">2. INDEMNITIES</w:t>
      </w:r>
    </w:p>
    <w:p>
      <w:pPr>
        <w:spacing w:after="160"/>
        <w:jc w:val="both"/>
      </w:pPr>
      <w:r>
        <w:t xml:space="preserve">Clause reference 7.4 · category liability · risk weight 5/5 · change type Liability/Risk</w:t>
      </w:r>
    </w:p>
    <w:p>
      <w:pPr>
        <w:spacing w:after="160"/>
        <w:jc w:val="both"/>
      </w:pPr>
      <w:r>
        <w:rPr>
          <w:b/>
        </w:rPr>
        <w:t xml:space="preserve">Standard. </w:t>
      </w:r>
      <w:r>
        <w:t xml:space="preserve">Supplier indemnifies for third-party IP claims, breach of data protection law, and death or personal injury caused by its negligence.</w:t>
      </w:r>
    </w:p>
    <w:p>
      <w:pPr>
        <w:spacing w:after="160"/>
        <w:jc w:val="both"/>
      </w:pPr>
      <w:r>
        <w:rPr>
          <w:b/>
        </w:rPr>
        <w:t xml:space="preserve">Fallback. </w:t>
      </w:r>
      <w:r>
        <w:t xml:space="preserve">The same, with the IP indemnity capped at the liability cap.</w:t>
      </w:r>
    </w:p>
    <w:p>
      <w:pPr>
        <w:spacing w:after="160"/>
        <w:jc w:val="both"/>
      </w:pPr>
      <w:r>
        <w:rPr>
          <w:b/>
        </w:rPr>
        <w:t xml:space="preserve">Walk away. </w:t>
      </w:r>
      <w:r>
        <w:t xml:space="preserve">No data protection indemnity where the supplier processes personal data.</w:t>
      </w:r>
    </w:p>
    <w:p>
      <w:pPr>
        <w:spacing w:after="160"/>
        <w:jc w:val="both"/>
      </w:pPr>
      <w:r>
        <w:rPr>
          <w:b/>
        </w:rPr>
        <w:t xml:space="preserve">Why. </w:t>
      </w:r>
      <w:r>
        <w:t xml:space="preserve">An indemnity sits outside the liability cap unless the contract says otherwise, so it is the clause most often traded away by someone who has read only the cap.</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Acceptable where the supplier processes no personal data. Confirm that against the DPA before signing, not from memory.</w:t>
      </w:r>
    </w:p>
    <w:p>
      <w:pPr>
        <w:spacing w:after="160"/>
        <w:jc w:val="both"/>
      </w:pPr>
      <w:r>
        <w:rPr>
          <w:b/>
        </w:rPr>
        <w:t xml:space="preserve">Past walk-away. </w:t>
      </w:r>
      <w:r>
        <w:t xml:space="preserve">Do not accept where personal data is in scope. Escalate to Head of Legal.</w:t>
      </w:r>
    </w:p>
    <w:p>
      <w:pPr>
        <w:spacing w:after="160"/>
        <w:jc w:val="both"/>
      </w:pPr>
      <w:r>
        <w:rPr>
          <w:b/>
        </w:rPr>
        <w:t xml:space="preserve">Red flags. </w:t>
      </w:r>
      <w:r>
        <w:t xml:space="preserve">wording that is wrong at any number</w:t>
      </w:r>
    </w:p>
    <w:p>
      <w:pPr>
        <w:spacing w:after="160"/>
        <w:jc w:val="both"/>
      </w:pPr>
      <w:r>
        <w:t xml:space="preserve">-  Indemnity brought inside the liability cap without the cap being raised to compensate.</w:t>
      </w:r>
    </w:p>
    <w:p>
      <w:pPr>
        <w:spacing w:after="160"/>
        <w:jc w:val="both"/>
      </w:pPr>
      <w:r>
        <w:t xml:space="preserve">-  Data protection indemnity deleted while the supplier still processes personal data.</w:t>
      </w:r>
    </w:p>
    <w:p>
      <w:pPr>
        <w:spacing w:after="160"/>
        <w:jc w:val="both"/>
      </w:pPr>
      <w:r>
        <w:t xml:space="preserve">-  'Indemnify' quietly downgraded to 'be responsible for', which removes the duty to defend and pay costs as incurred.</w:t>
      </w:r>
    </w:p>
    <w:p>
      <w:pPr>
        <w:spacing w:after="160"/>
        <w:jc w:val="both"/>
      </w:pPr>
      <w:r>
        <w:rPr>
          <w:b/>
        </w:rPr>
        <w:t xml:space="preserve">Tradeables. </w:t>
      </w:r>
      <w:r>
        <w:t xml:space="preserve">what may be conceded to hold this position, and what may not</w:t>
      </w:r>
    </w:p>
    <w:p>
      <w:pPr>
        <w:spacing w:after="160"/>
        <w:jc w:val="both"/>
      </w:pPr>
      <w:r>
        <w:t xml:space="preserve">-  Capping the IP indemnity at the liability cap is a normal concession.</w:t>
      </w:r>
    </w:p>
    <w:p>
      <w:pPr>
        <w:spacing w:after="160"/>
        <w:jc w:val="both"/>
      </w:pPr>
      <w:r>
        <w:t xml:space="preserve">-  The data protection indemnity is not a trading chip where the supplier is a processor.</w:t>
      </w:r>
    </w:p>
    <w:p>
      <w:pPr>
        <w:spacing w:after="160"/>
        <w:jc w:val="both"/>
      </w:pPr>
      <w:r>
        <w:rPr>
          <w:b/>
        </w:rPr>
        <w:t xml:space="preserve">Model wording. </w:t>
      </w:r>
      <w:r>
        <w:t xml:space="preserve">what a draft is generated from</w:t>
      </w:r>
    </w:p>
    <w:p>
      <w:pPr>
        <w:spacing w:after="160"/>
        <w:jc w:val="both"/>
      </w:pP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after="160"/>
        <w:jc w:val="both"/>
      </w:pPr>
      <w:r>
        <w:rPr>
          <w:b/>
        </w:rPr>
        <w:t xml:space="preserve">Also called. </w:t>
      </w:r>
      <w:r>
        <w:t xml:space="preserve">Indemnity; Indemnities; Supplier Indemnity</w:t>
      </w:r>
    </w:p>
    <w:p>
      <w:pPr>
        <w:spacing w:before="280" w:after="120"/>
      </w:pPr>
      <w:r>
        <w:rPr>
          <w:b/>
          <w:caps/>
          <w:sz w:val="24"/>
        </w:rPr>
        <w:t xml:space="preserve">3. INSURANCE</w:t>
      </w:r>
    </w:p>
    <w:p>
      <w:pPr>
        <w:spacing w:after="160"/>
        <w:jc w:val="both"/>
      </w:pPr>
      <w:r>
        <w:t xml:space="preserve">Clause reference 11.1 · category liability · risk weight 4/5 · change type Insurance/Risk</w:t>
      </w:r>
    </w:p>
    <w:p>
      <w:pPr>
        <w:spacing w:after="160"/>
        <w:jc w:val="both"/>
      </w:pPr>
      <w:r>
        <w:rPr>
          <w:b/>
        </w:rPr>
        <w:t xml:space="preserve">Standard. </w:t>
      </w:r>
      <w:r>
        <w:t xml:space="preserve">Public liability £10m, employer's liability £10m, professional indemnity £5m where advice is given, all maintained for six years after termination.</w:t>
      </w:r>
    </w:p>
    <w:p>
      <w:pPr>
        <w:spacing w:after="160"/>
        <w:jc w:val="both"/>
      </w:pPr>
      <w:r>
        <w:rPr>
          <w:b/>
        </w:rPr>
        <w:t xml:space="preserve">Fallback. </w:t>
      </w:r>
      <w:r>
        <w:t xml:space="preserve">Public and employer's liability £5m; professional indemnity £2m.</w:t>
      </w:r>
    </w:p>
    <w:p>
      <w:pPr>
        <w:spacing w:after="160"/>
        <w:jc w:val="both"/>
      </w:pPr>
      <w:r>
        <w:rPr>
          <w:b/>
        </w:rPr>
        <w:t xml:space="preserve">Walk away. </w:t>
      </w:r>
      <w:r>
        <w:t xml:space="preserve">Employer's liability below the statutory minimum, or no run-off cover for professional indemnity.</w:t>
      </w:r>
    </w:p>
    <w:p>
      <w:pPr>
        <w:spacing w:after="160"/>
        <w:jc w:val="both"/>
      </w:pPr>
      <w:r>
        <w:rPr>
          <w:b/>
        </w:rPr>
        <w:t xml:space="preserve">Why. </w:t>
      </w:r>
      <w:r>
        <w:t xml:space="preserve">Run-off is the part that gets dropped. A defect discovered three years after a contractor leaves is uninsured if cover ended with the contract, and that is exactly when building defects surface.</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Reduced public liability is arguable on a low-footfall single site. Ask what the supplier's actual policy carries: often it is higher than what they proposed.</w:t>
      </w:r>
    </w:p>
    <w:p>
      <w:pPr>
        <w:spacing w:after="160"/>
        <w:jc w:val="both"/>
      </w:pPr>
      <w:r>
        <w:rPr>
          <w:b/>
        </w:rPr>
        <w:t xml:space="preserve">Past walk-away. </w:t>
      </w:r>
      <w:r>
        <w:t xml:space="preserve">Do not accept. Employer's liability below the statutory floor is not negotiable at any price.</w:t>
      </w:r>
    </w:p>
    <w:p>
      <w:pPr>
        <w:spacing w:after="160"/>
        <w:jc w:val="both"/>
      </w:pPr>
      <w:r>
        <w:rPr>
          <w:b/>
        </w:rPr>
        <w:t xml:space="preserve">Red flags. </w:t>
      </w:r>
      <w:r>
        <w:t xml:space="preserve">wording that is wrong at any number</w:t>
      </w:r>
    </w:p>
    <w:p>
      <w:pPr>
        <w:spacing w:after="160"/>
        <w:jc w:val="both"/>
      </w:pPr>
      <w:r>
        <w:t xml:space="preserve">-  Employer's liability below GBP 5,000,000: that floor is statutory in Great Britain, not a preference.</w:t>
      </w:r>
    </w:p>
    <w:p>
      <w:pPr>
        <w:spacing w:after="160"/>
        <w:jc w:val="both"/>
      </w:pPr>
      <w:r>
        <w:t xml:space="preserve">-  Cover written 'in the aggregate' where the standard says 'per occurrence': one bad year exhausts it.</w:t>
      </w:r>
    </w:p>
    <w:p>
      <w:pPr>
        <w:spacing w:after="160"/>
        <w:jc w:val="both"/>
      </w:pPr>
      <w:r>
        <w:t xml:space="preserve">-  Certificate obligation dropped, leaving a limit nobody ever has to evidence.</w:t>
      </w:r>
    </w:p>
    <w:p>
      <w:pPr>
        <w:spacing w:after="160"/>
        <w:jc w:val="both"/>
      </w:pPr>
      <w:r>
        <w:rPr>
          <w:b/>
        </w:rPr>
        <w:t xml:space="preserve">Tradeables. </w:t>
      </w:r>
      <w:r>
        <w:t xml:space="preserve">what may be conceded to hold this position, and what may not</w:t>
      </w:r>
    </w:p>
    <w:p>
      <w:pPr>
        <w:spacing w:after="160"/>
        <w:jc w:val="both"/>
      </w:pPr>
      <w:r>
        <w:t xml:space="preserve">-  Public liability limit is genuinely site-dependent and can move.</w:t>
      </w:r>
    </w:p>
    <w:p>
      <w:pPr>
        <w:spacing w:after="160"/>
        <w:jc w:val="both"/>
      </w:pPr>
      <w:r>
        <w:t xml:space="preserve">-  Employer's liability and the annual certificate obligation cannot.</w:t>
      </w:r>
    </w:p>
    <w:p>
      <w:pPr>
        <w:spacing w:after="160"/>
        <w:jc w:val="both"/>
      </w:pPr>
      <w:r>
        <w:rPr>
          <w:b/>
        </w:rPr>
        <w:t xml:space="preserve">Model wording. </w:t>
      </w:r>
      <w:r>
        <w:t xml:space="preserve">what a draft is generated from</w:t>
      </w:r>
    </w:p>
    <w:p>
      <w:pPr>
        <w:spacing w:after="160"/>
        <w:jc w:val="both"/>
      </w:pPr>
      <w:r>
        <w:t xml:space="preserve">The Supplier shall maintain, with a reputable insurer, public liability insurance of not less than GBP 5,000,000 per occurrence, employer's liability insurance of not less than GBP 5,000,000, and professional indemnity insurance of not less than GBP 2,000,000, and shall provide certificates of currency on each policy anniversary. Maintaining the cover required by this clause does not limit the Supplier's liability under clause 7.2.</w:t>
      </w:r>
    </w:p>
    <w:p>
      <w:pPr>
        <w:spacing w:after="160"/>
        <w:jc w:val="both"/>
      </w:pPr>
      <w:r>
        <w:rPr>
          <w:b/>
        </w:rPr>
        <w:t xml:space="preserve">Also called. </w:t>
      </w:r>
      <w:r>
        <w:t xml:space="preserve">Insurance; Insurance Requirements; Required Insurances</w:t>
      </w:r>
    </w:p>
    <w:p>
      <w:pPr>
        <w:spacing w:before="280" w:after="120"/>
      </w:pPr>
      <w:r>
        <w:rPr>
          <w:b/>
          <w:caps/>
          <w:sz w:val="24"/>
        </w:rPr>
        <w:t xml:space="preserve">4. PAYMENT TERMS</w:t>
      </w:r>
    </w:p>
    <w:p>
      <w:pPr>
        <w:spacing w:after="160"/>
        <w:jc w:val="both"/>
      </w:pPr>
      <w:r>
        <w:t xml:space="preserve">Clause reference 5.1 · category commercial · risk weight 3/5 · change type Payment</w:t>
      </w:r>
    </w:p>
    <w:p>
      <w:pPr>
        <w:spacing w:after="160"/>
        <w:jc w:val="both"/>
      </w:pPr>
      <w:r>
        <w:rPr>
          <w:b/>
        </w:rPr>
        <w:t xml:space="preserve">Standard. </w:t>
      </w:r>
      <w:r>
        <w:t xml:space="preserve">[60 days] 60 days from receipt of a valid invoice.</w:t>
      </w:r>
    </w:p>
    <w:p>
      <w:pPr>
        <w:spacing w:after="160"/>
        <w:jc w:val="both"/>
      </w:pPr>
      <w:r>
        <w:rPr>
          <w:b/>
        </w:rPr>
        <w:t xml:space="preserve">Fallback. </w:t>
      </w:r>
      <w:r>
        <w:t xml:space="preserve">[45 days] 45 days.</w:t>
      </w:r>
    </w:p>
    <w:p>
      <w:pPr>
        <w:spacing w:after="160"/>
        <w:jc w:val="both"/>
      </w:pPr>
      <w:r>
        <w:rPr>
          <w:b/>
        </w:rPr>
        <w:t xml:space="preserve">Walk away. </w:t>
      </w:r>
      <w:r>
        <w:t xml:space="preserve">[30 days] Under 30 days, or payment in advance for services not yet performed.</w:t>
      </w:r>
    </w:p>
    <w:p>
      <w:pPr>
        <w:spacing w:after="160"/>
        <w:jc w:val="both"/>
      </w:pPr>
      <w:r>
        <w:rPr>
          <w:b/>
        </w:rPr>
        <w:t xml:space="preserve">Band. </w:t>
      </w:r>
      <w:r>
        <w:t xml:space="preserve">Measured in days; lower is worse.</w:t>
      </w:r>
    </w:p>
    <w:p>
      <w:pPr>
        <w:spacing w:after="160"/>
        <w:jc w:val="both"/>
      </w:pPr>
      <w:r>
        <w:rPr>
          <w:b/>
        </w:rPr>
        <w:t xml:space="preserve">Why. </w:t>
      </w:r>
      <w:r>
        <w:t xml:space="preserve">Shorter terms are a working-capital cost, not a legal risk, which is why this is Finance's decision and not Legal's. Note the asymmetry: the supplier wants shorter, we want longer, so the walk-away is a floor rather than a ceiling.</w:t>
      </w:r>
    </w:p>
    <w:p>
      <w:pPr>
        <w:spacing w:after="160"/>
        <w:jc w:val="both"/>
      </w:pPr>
      <w:r>
        <w:rPr>
          <w:b/>
        </w:rPr>
        <w:t xml:space="preserve">Who approves. </w:t>
      </w:r>
      <w:r>
        <w:t xml:space="preserve">Inside the fallback band, Finance / Commercial Approver may approve without escalation. Past the walk-away line the decision belongs to Head of Finance.</w:t>
      </w:r>
    </w:p>
    <w:p>
      <w:pPr>
        <w:spacing w:after="160"/>
        <w:jc w:val="both"/>
      </w:pPr>
      <w:r>
        <w:rPr>
          <w:b/>
        </w:rPr>
        <w:t xml:space="preserve">At standard. </w:t>
      </w:r>
      <w:r>
        <w:t xml:space="preserve">No action.</w:t>
      </w:r>
    </w:p>
    <w:p>
      <w:pPr>
        <w:spacing w:after="160"/>
        <w:jc w:val="both"/>
      </w:pPr>
      <w:r>
        <w:rPr>
          <w:b/>
        </w:rPr>
        <w:t xml:space="preserve">In fallback. </w:t>
      </w:r>
      <w:r>
        <w:t xml:space="preserve">Finance may approve 45 days without escalation. Confirm it does not clash with a group treasury policy.</w:t>
      </w:r>
    </w:p>
    <w:p>
      <w:pPr>
        <w:spacing w:after="160"/>
        <w:jc w:val="both"/>
      </w:pPr>
      <w:r>
        <w:rPr>
          <w:b/>
        </w:rPr>
        <w:t xml:space="preserve">Past walk-away. </w:t>
      </w:r>
      <w:r>
        <w:t xml:space="preserve">Escalate to Head of Finance. Anything under 30 days is a working-capital decision, not a contract one.</w:t>
      </w:r>
    </w:p>
    <w:p>
      <w:pPr>
        <w:spacing w:after="160"/>
        <w:jc w:val="both"/>
      </w:pPr>
      <w:r>
        <w:rPr>
          <w:b/>
        </w:rPr>
        <w:t xml:space="preserve">Red flags. </w:t>
      </w:r>
      <w:r>
        <w:t xml:space="preserve">wording that is wrong at any number</w:t>
      </w:r>
    </w:p>
    <w:p>
      <w:pPr>
        <w:spacing w:after="160"/>
        <w:jc w:val="both"/>
      </w:pPr>
      <w:r>
        <w:t xml:space="preserve">-  The word 'undisputed' removed: the client then owes disputed invoices on the clock.</w:t>
      </w:r>
    </w:p>
    <w:p>
      <w:pPr>
        <w:spacing w:after="160"/>
        <w:jc w:val="both"/>
      </w:pPr>
      <w:r>
        <w:t xml:space="preserve">-  Interest on late payment above the statutory rate.</w:t>
      </w:r>
    </w:p>
    <w:p>
      <w:pPr>
        <w:spacing w:after="160"/>
        <w:jc w:val="both"/>
      </w:pPr>
      <w:r>
        <w:t xml:space="preserve">-  Payment triggered on invoice date rather than receipt, which silently shortens the window by the postal delay.</w:t>
      </w:r>
    </w:p>
    <w:p>
      <w:pPr>
        <w:spacing w:after="160"/>
        <w:jc w:val="both"/>
      </w:pPr>
      <w:r>
        <w:rPr>
          <w:b/>
        </w:rPr>
        <w:t xml:space="preserve">Tradeables. </w:t>
      </w:r>
      <w:r>
        <w:t xml:space="preserve">what may be conceded to hold this position, and what may not</w:t>
      </w:r>
    </w:p>
    <w:p>
      <w:pPr>
        <w:spacing w:after="160"/>
        <w:jc w:val="both"/>
      </w:pPr>
      <w:r>
        <w:t xml:space="preserve">-  Shorter terms are worth trading for an early-settlement discount, so ask for one before conceding.</w:t>
      </w:r>
    </w:p>
    <w:p>
      <w:pPr>
        <w:spacing w:after="160"/>
        <w:jc w:val="both"/>
      </w:pPr>
      <w:r>
        <w:t xml:space="preserve">-  Keep 'undisputed' whatever the number becomes.</w:t>
      </w:r>
    </w:p>
    <w:p>
      <w:pPr>
        <w:spacing w:after="160"/>
        <w:jc w:val="both"/>
      </w:pPr>
      <w:r>
        <w:rPr>
          <w:b/>
        </w:rPr>
        <w:t xml:space="preserve">Model wording. </w:t>
      </w:r>
      <w:r>
        <w:t xml:space="preserve">what a draft is generated from</w:t>
      </w:r>
    </w:p>
    <w:p>
      <w:pPr>
        <w:spacing w:after="160"/>
        <w:jc w:val="both"/>
      </w:pPr>
      <w:r>
        <w:t xml:space="preserve">The Client shall pay all undisputed invoices within sixty (60) days of receipt. Invoices shall be submitted monthly in arrears and shall reference the Contract Number and the relevant purchase order. The Charges may be varied only in accordance with clause 18.1.</w:t>
      </w:r>
    </w:p>
    <w:p>
      <w:pPr>
        <w:spacing w:after="160"/>
        <w:jc w:val="both"/>
      </w:pPr>
      <w:r>
        <w:rPr>
          <w:b/>
        </w:rPr>
        <w:t xml:space="preserve">Also called. </w:t>
      </w:r>
      <w:r>
        <w:t xml:space="preserve">Payment Terms; Payment; Invoicing and Payment</w:t>
      </w:r>
    </w:p>
    <w:p>
      <w:pPr>
        <w:spacing w:before="280" w:after="120"/>
      </w:pPr>
      <w:r>
        <w:rPr>
          <w:b/>
          <w:caps/>
          <w:sz w:val="24"/>
        </w:rPr>
        <w:t xml:space="preserve">5. TERM AND RENEWAL</w:t>
      </w:r>
    </w:p>
    <w:p>
      <w:pPr>
        <w:spacing w:after="160"/>
        <w:jc w:val="both"/>
      </w:pPr>
      <w:r>
        <w:t xml:space="preserve">Clause reference 4.1 · category term · risk weight 3/5 · change type Administrative</w:t>
      </w:r>
    </w:p>
    <w:p>
      <w:pPr>
        <w:spacing w:after="160"/>
        <w:jc w:val="both"/>
      </w:pPr>
      <w:r>
        <w:rPr>
          <w:b/>
        </w:rPr>
        <w:t xml:space="preserve">Standard. </w:t>
      </w:r>
      <w:r>
        <w:t xml:space="preserve">Three-year initial term, renewal by express agreement only.</w:t>
      </w:r>
    </w:p>
    <w:p>
      <w:pPr>
        <w:spacing w:after="160"/>
        <w:jc w:val="both"/>
      </w:pPr>
      <w:r>
        <w:rPr>
          <w:b/>
        </w:rPr>
        <w:t xml:space="preserve">Fallback. </w:t>
      </w:r>
      <w:r>
        <w:t xml:space="preserve">Automatic renewal for twelve months with 90 days' notice to prevent it.</w:t>
      </w:r>
    </w:p>
    <w:p>
      <w:pPr>
        <w:spacing w:after="160"/>
        <w:jc w:val="both"/>
      </w:pPr>
      <w:r>
        <w:rPr>
          <w:b/>
        </w:rPr>
        <w:t xml:space="preserve">Walk away. </w:t>
      </w:r>
      <w:r>
        <w:t xml:space="preserve">Automatic renewal with less than 90 days' notice, or renewal for a term longer than the original.</w:t>
      </w:r>
    </w:p>
    <w:p>
      <w:pPr>
        <w:spacing w:after="160"/>
        <w:jc w:val="both"/>
      </w:pPr>
      <w:r>
        <w:rPr>
          <w:b/>
        </w:rPr>
        <w:t xml:space="preserve">Why. </w:t>
      </w:r>
      <w:r>
        <w:t xml:space="preserve">Auto-renewal is the single largest source of unintended commitment in FM, and it is why P0-D5's key dates exist. A 30-day notice window on a three-year renewal means one missed reminder costs three years.</w:t>
      </w:r>
    </w:p>
    <w:p>
      <w:pPr>
        <w:spacing w:after="160"/>
        <w:jc w:val="both"/>
      </w:pPr>
      <w:r>
        <w:rPr>
          <w:b/>
        </w:rPr>
        <w:t xml:space="preserve">Who approves. </w:t>
      </w:r>
      <w:r>
        <w:t xml:space="preserve">Inside the fallback band, Contract Manager may approve without escalation. Past the walk-away line the decision belongs to Director of Contract Management.</w:t>
      </w:r>
    </w:p>
    <w:p>
      <w:pPr>
        <w:spacing w:after="160"/>
        <w:jc w:val="both"/>
      </w:pPr>
      <w:r>
        <w:rPr>
          <w:b/>
        </w:rPr>
        <w:t xml:space="preserve">At standard. </w:t>
      </w:r>
      <w:r>
        <w:t xml:space="preserve">No action.</w:t>
      </w:r>
    </w:p>
    <w:p>
      <w:pPr>
        <w:spacing w:after="160"/>
        <w:jc w:val="both"/>
      </w:pPr>
      <w:r>
        <w:rPr>
          <w:b/>
        </w:rPr>
        <w:t xml:space="preserve">In fallback. </w:t>
      </w:r>
      <w:r>
        <w:t xml:space="preserve">Contract Manager may approve. Set the renewal reminder to the notice period plus 30 days on the day you accept.</w:t>
      </w:r>
    </w:p>
    <w:p>
      <w:pPr>
        <w:spacing w:after="160"/>
        <w:jc w:val="both"/>
      </w:pPr>
      <w:r>
        <w:rPr>
          <w:b/>
        </w:rPr>
        <w:t xml:space="preserve">Past walk-away. </w:t>
      </w:r>
      <w:r>
        <w:t xml:space="preserve">Do not accept an auto-renewal the client cannot stop. Escalate to Director of Contract Management.</w:t>
      </w:r>
    </w:p>
    <w:p>
      <w:pPr>
        <w:spacing w:after="160"/>
        <w:jc w:val="both"/>
      </w:pPr>
      <w:r>
        <w:rPr>
          <w:b/>
        </w:rPr>
        <w:t xml:space="preserve">Red flags. </w:t>
      </w:r>
      <w:r>
        <w:t xml:space="preserve">wording that is wrong at any number</w:t>
      </w:r>
    </w:p>
    <w:p>
      <w:pPr>
        <w:spacing w:after="160"/>
        <w:jc w:val="both"/>
      </w:pPr>
      <w:r>
        <w:t xml:space="preserve">-  Auto-renewal with a notice period longer than the renewal period: the contract can never be exited cleanly.</w:t>
      </w:r>
    </w:p>
    <w:p>
      <w:pPr>
        <w:spacing w:after="160"/>
        <w:jc w:val="both"/>
      </w:pPr>
      <w:r>
        <w:t xml:space="preserve">-  An evergreen (no end date) term with no unilateral termination right: that is a perpetual commitment, not a rolling one.</w:t>
      </w:r>
    </w:p>
    <w:p>
      <w:pPr>
        <w:spacing w:after="160"/>
        <w:jc w:val="both"/>
      </w:pPr>
      <w:r>
        <w:t xml:space="preserve">-  Renewal at a price to be agreed, with no fallback if it is not agreed.</w:t>
      </w:r>
    </w:p>
    <w:p>
      <w:pPr>
        <w:spacing w:after="160"/>
        <w:jc w:val="both"/>
      </w:pPr>
      <w:r>
        <w:rPr>
          <w:b/>
        </w:rPr>
        <w:t xml:space="preserve">Tradeables. </w:t>
      </w:r>
      <w:r>
        <w:t xml:space="preserve">what may be conceded to hold this position, and what may not</w:t>
      </w:r>
    </w:p>
    <w:p>
      <w:pPr>
        <w:spacing w:after="160"/>
        <w:jc w:val="both"/>
      </w:pPr>
      <w:r>
        <w:t xml:space="preserve">-  Longer initial term is tradeable against price certainty or indexation caps.</w:t>
      </w:r>
    </w:p>
    <w:p>
      <w:pPr>
        <w:spacing w:after="160"/>
        <w:jc w:val="both"/>
      </w:pPr>
      <w:r>
        <w:t xml:space="preserve">-  Notice period length is not. It is the only exit.</w:t>
      </w:r>
    </w:p>
    <w:p>
      <w:pPr>
        <w:spacing w:after="160"/>
        <w:jc w:val="both"/>
      </w:pPr>
      <w:r>
        <w:rPr>
          <w:b/>
        </w:rPr>
        <w:t xml:space="preserve">Evergreen. </w:t>
      </w:r>
      <w:r>
        <w:t xml:space="preserve">where the contract has no expiry date</w:t>
      </w:r>
    </w:p>
    <w:p>
      <w:pPr>
        <w:spacing w:after="160"/>
        <w:jc w:val="both"/>
      </w:pPr>
      <w:r>
        <w:t xml:space="preserve">Standard:  Evergreen (no fixed end date) is acceptable only with a rolling right to terminate for convenience on the standard notice period, and an annual price review with a cap.</w:t>
      </w:r>
    </w:p>
    <w:p>
      <w:pPr>
        <w:spacing w:after="160"/>
        <w:jc w:val="both"/>
      </w:pPr>
      <w:r>
        <w:t xml:space="preserve">Fallback:  Evergreen with termination for convenience on up to 120 days' notice.</w:t>
      </w:r>
    </w:p>
    <w:p>
      <w:pPr>
        <w:spacing w:after="160"/>
        <w:jc w:val="both"/>
      </w:pPr>
      <w:r>
        <w:t xml:space="preserve">Walk away: Evergreen with no unilateral termination right, or notice longer than 180 days.</w:t>
      </w:r>
    </w:p>
    <w:p>
      <w:pPr>
        <w:spacing w:after="160"/>
        <w:jc w:val="both"/>
      </w:pPr>
      <w:r>
        <w:t xml:space="preserve">An evergreen contract is the right shape for a service that must not stop, and the wrong shape for a commitment nobody re-examines. The termination right is what makes the difference, so it is the term to hold.</w:t>
      </w:r>
    </w:p>
    <w:p>
      <w:pPr>
        <w:spacing w:after="160"/>
        <w:jc w:val="both"/>
      </w:pPr>
      <w:r>
        <w:rPr>
          <w:b/>
        </w:rPr>
        <w:t xml:space="preserve">Model wording. </w:t>
      </w:r>
      <w:r>
        <w:t xml:space="preserve">what a draft is generated from</w:t>
      </w:r>
    </w:p>
    <w:p>
      <w:pPr>
        <w:spacing w:after="160"/>
        <w:jc w:val="both"/>
      </w:pP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after="160"/>
        <w:jc w:val="both"/>
      </w:pPr>
      <w:r>
        <w:rPr>
          <w:b/>
        </w:rPr>
        <w:t xml:space="preserve">Also called. </w:t>
      </w:r>
      <w:r>
        <w:t xml:space="preserve">Term; Term and Renewal; Duration; Renewal; Auto-Renewal</w:t>
      </w:r>
    </w:p>
    <w:p>
      <w:pPr>
        <w:spacing w:before="280" w:after="120"/>
      </w:pPr>
      <w:r>
        <w:rPr>
          <w:b/>
          <w:caps/>
          <w:sz w:val="24"/>
        </w:rPr>
        <w:t xml:space="preserve">6. TERMINATION FOR CONVENIENCE</w:t>
      </w:r>
    </w:p>
    <w:p>
      <w:pPr>
        <w:spacing w:after="160"/>
        <w:jc w:val="both"/>
      </w:pPr>
      <w:r>
        <w:t xml:space="preserve">Clause reference 9.1 · category term · risk weight 4/5 · change type Termination</w:t>
      </w:r>
    </w:p>
    <w:p>
      <w:pPr>
        <w:spacing w:after="160"/>
        <w:jc w:val="both"/>
      </w:pPr>
      <w:r>
        <w:rPr>
          <w:b/>
        </w:rPr>
        <w:t xml:space="preserve">Standard. </w:t>
      </w:r>
      <w:r>
        <w:t xml:space="preserve">[90 days] Client may terminate on 90 days' notice without cause and without charge.</w:t>
      </w:r>
    </w:p>
    <w:p>
      <w:pPr>
        <w:spacing w:after="160"/>
        <w:jc w:val="both"/>
      </w:pPr>
      <w:r>
        <w:rPr>
          <w:b/>
        </w:rPr>
        <w:t xml:space="preserve">Fallback. </w:t>
      </w:r>
      <w:r>
        <w:t xml:space="preserve">[90 days] 90 days' notice with payment for work performed and unavoidable committed costs, evidenced.</w:t>
      </w:r>
    </w:p>
    <w:p>
      <w:pPr>
        <w:spacing w:after="160"/>
        <w:jc w:val="both"/>
      </w:pPr>
      <w:r>
        <w:rPr>
          <w:b/>
        </w:rPr>
        <w:t xml:space="preserve">Walk away. </w:t>
      </w:r>
      <w:r>
        <w:t xml:space="preserve">No termination for convenience, or an exit fee not tied to evidenced costs.</w:t>
      </w:r>
    </w:p>
    <w:p>
      <w:pPr>
        <w:spacing w:after="160"/>
        <w:jc w:val="both"/>
      </w:pPr>
      <w:r>
        <w:rPr>
          <w:b/>
        </w:rPr>
        <w:t xml:space="preserve">Band. </w:t>
      </w:r>
      <w:r>
        <w:t xml:space="preserve">Measured in days; higher is worse. standardValue and fallbackValue are both 90 days: the notice period is not what separates the two positions, the exit charge is. Read the position text, not the arithmetic. valueDirection lower_is_worse applies to the notice the Client receives from the Supplier, which is the direction that matters operationally.</w:t>
      </w:r>
    </w:p>
    <w:p>
      <w:pPr>
        <w:spacing w:after="160"/>
        <w:jc w:val="both"/>
      </w:pPr>
      <w:r>
        <w:rPr>
          <w:b/>
        </w:rPr>
        <w:t xml:space="preserve">Why. </w:t>
      </w:r>
      <w:r>
        <w:t xml:space="preserve">'Unavoidable committed costs' must be evidenced or it becomes whatever the supplier asserts on the way out, which is the moment the relationship is least cooperative.</w:t>
      </w:r>
    </w:p>
    <w:p>
      <w:pPr>
        <w:spacing w:after="160"/>
        <w:jc w:val="both"/>
      </w:pPr>
      <w:r>
        <w:rPr>
          <w:b/>
        </w:rPr>
        <w:t xml:space="preserve">Who approves. </w:t>
      </w:r>
      <w:r>
        <w:t xml:space="preserve">Inside the fallback band, Contract Manager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Contract Manager may approve where an exit payment is tied to work performed and unavoidable committed costs, and those costs must be evidenced rather than asserted.</w:t>
      </w:r>
    </w:p>
    <w:p>
      <w:pPr>
        <w:spacing w:after="160"/>
        <w:jc w:val="both"/>
      </w:pPr>
      <w:r>
        <w:rPr>
          <w:b/>
        </w:rPr>
        <w:t xml:space="preserve">Past walk-away. </w:t>
      </w:r>
      <w:r>
        <w:t xml:space="preserve">Escalate to Head of Legal. No convenience right at all, or an exit fee untied to evidenced cost, is a walk-away regardless of the notice period.</w:t>
      </w:r>
    </w:p>
    <w:p>
      <w:pPr>
        <w:spacing w:after="160"/>
        <w:jc w:val="both"/>
      </w:pPr>
      <w:r>
        <w:rPr>
          <w:b/>
        </w:rPr>
        <w:t xml:space="preserve">Red flags. </w:t>
      </w:r>
      <w:r>
        <w:t xml:space="preserve">wording that is wrong at any number</w:t>
      </w:r>
    </w:p>
    <w:p>
      <w:pPr>
        <w:spacing w:after="160"/>
        <w:jc w:val="both"/>
      </w:pPr>
      <w:r>
        <w:t xml:space="preserve">-  Asymmetric notice: the supplier can leave on 30 days, the client needs 180.</w:t>
      </w:r>
    </w:p>
    <w:p>
      <w:pPr>
        <w:spacing w:after="160"/>
        <w:jc w:val="both"/>
      </w:pPr>
      <w:r>
        <w:t xml:space="preserve">-  An exit fee or 'termination charge' attached to a convenience right, which turns it into a penalty.</w:t>
      </w:r>
    </w:p>
    <w:p>
      <w:pPr>
        <w:spacing w:after="160"/>
        <w:jc w:val="both"/>
      </w:pPr>
      <w:r>
        <w:t xml:space="preserve">-  Notice shorter than the exit assistance period, so the contract ends before handover finishes.</w:t>
      </w:r>
    </w:p>
    <w:p>
      <w:pPr>
        <w:spacing w:after="160"/>
        <w:jc w:val="both"/>
      </w:pPr>
      <w:r>
        <w:rPr>
          <w:b/>
        </w:rPr>
        <w:t xml:space="preserve">Tradeables. </w:t>
      </w:r>
      <w:r>
        <w:t xml:space="preserve">what may be conceded to hold this position, and what may not</w:t>
      </w:r>
    </w:p>
    <w:p>
      <w:pPr>
        <w:spacing w:after="160"/>
        <w:jc w:val="both"/>
      </w:pPr>
      <w:r>
        <w:t xml:space="preserve">-  A short notice period is only safe where exit assistance is long. Read the two together.</w:t>
      </w:r>
    </w:p>
    <w:p>
      <w:pPr>
        <w:spacing w:after="160"/>
        <w:jc w:val="both"/>
      </w:pPr>
      <w:r>
        <w:t xml:space="preserve">-  Mutual notice is worth more than a longer one-sided notice.</w:t>
      </w:r>
    </w:p>
    <w:p>
      <w:pPr>
        <w:spacing w:after="160"/>
        <w:jc w:val="both"/>
      </w:pPr>
      <w:r>
        <w:rPr>
          <w:b/>
        </w:rPr>
        <w:t xml:space="preserve">Model wording. </w:t>
      </w:r>
      <w:r>
        <w:t xml:space="preserve">what a draft is generated from</w:t>
      </w:r>
    </w:p>
    <w:p>
      <w:pPr>
        <w:spacing w:after="160"/>
        <w:jc w:val="both"/>
      </w:pPr>
      <w:r>
        <w:t xml:space="preserve">Either party may terminate this Agreement for convenience on not less than ninety (90) days' prior written notice to the other. No termination charge shall be payable on a termination under this clause.</w:t>
      </w:r>
    </w:p>
    <w:p>
      <w:pPr>
        <w:spacing w:after="160"/>
        <w:jc w:val="both"/>
      </w:pPr>
      <w:r>
        <w:rPr>
          <w:b/>
        </w:rPr>
        <w:t xml:space="preserve">Also called. </w:t>
      </w:r>
      <w:r>
        <w:t xml:space="preserve">Termination for Convenience; Termination; Termination Rights</w:t>
      </w:r>
    </w:p>
    <w:p>
      <w:pPr>
        <w:spacing w:before="280" w:after="120"/>
      </w:pPr>
      <w:r>
        <w:rPr>
          <w:b/>
          <w:caps/>
          <w:sz w:val="24"/>
        </w:rPr>
        <w:t xml:space="preserve">7. SERVICE LEVELS AND SERVICE CREDITS</w:t>
      </w:r>
    </w:p>
    <w:p>
      <w:pPr>
        <w:spacing w:after="160"/>
        <w:jc w:val="both"/>
      </w:pPr>
      <w:r>
        <w:t xml:space="preserve">Clause reference 6.3 · category performance · risk weight 3/5 · change type SLA/Performance</w:t>
      </w:r>
    </w:p>
    <w:p>
      <w:pPr>
        <w:spacing w:after="160"/>
        <w:jc w:val="both"/>
      </w:pPr>
      <w:r>
        <w:rPr>
          <w:b/>
        </w:rPr>
        <w:t xml:space="preserve">Standard. </w:t>
      </w:r>
      <w:r>
        <w:t xml:space="preserve">[10% of monthly charges] Service credits up to 10% of monthly charges, with a right to terminate for persistent failure over three consecutive months.</w:t>
      </w:r>
    </w:p>
    <w:p>
      <w:pPr>
        <w:spacing w:after="160"/>
        <w:jc w:val="both"/>
      </w:pPr>
      <w:r>
        <w:rPr>
          <w:b/>
        </w:rPr>
        <w:t xml:space="preserve">Fallback. </w:t>
      </w:r>
      <w:r>
        <w:t xml:space="preserve">[5% of monthly charges] Credits up to 5%, termination right after four consecutive months.</w:t>
      </w:r>
    </w:p>
    <w:p>
      <w:pPr>
        <w:spacing w:after="160"/>
        <w:jc w:val="both"/>
      </w:pPr>
      <w:r>
        <w:rPr>
          <w:b/>
        </w:rPr>
        <w:t xml:space="preserve">Walk away. </w:t>
      </w:r>
      <w:r>
        <w:t xml:space="preserve">Service credits as the sole remedy for service failure.</w:t>
      </w:r>
    </w:p>
    <w:p>
      <w:pPr>
        <w:spacing w:after="160"/>
        <w:jc w:val="both"/>
      </w:pPr>
      <w:r>
        <w:rPr>
          <w:b/>
        </w:rPr>
        <w:t xml:space="preserve">Band. </w:t>
      </w:r>
      <w:r>
        <w:t xml:space="preserve">Measured in percent monthly charges; lower is worse.</w:t>
      </w:r>
    </w:p>
    <w:p>
      <w:pPr>
        <w:spacing w:after="160"/>
        <w:jc w:val="both"/>
      </w:pPr>
      <w:r>
        <w:rPr>
          <w:b/>
        </w:rPr>
        <w:t xml:space="preserve">Why. </w:t>
      </w:r>
      <w:r>
        <w:t xml:space="preserve">'Sole remedy' is the phrase to watch. It converts every failure into a small discount and removes the right to claim actual loss, so a supplier whose failure closes a building owes you a percentage of one month's fee.</w:t>
      </w:r>
    </w:p>
    <w:p>
      <w:pPr>
        <w:spacing w:after="160"/>
        <w:jc w:val="both"/>
      </w:pPr>
      <w:r>
        <w:rPr>
          <w:b/>
        </w:rPr>
        <w:t xml:space="preserve">Who approves. </w:t>
      </w:r>
      <w:r>
        <w:t xml:space="preserve">Inside the fallback band, Contract Manager may approve without escalation. Past the walk-away line the decision belongs to Director of Contract Management.</w:t>
      </w:r>
    </w:p>
    <w:p>
      <w:pPr>
        <w:spacing w:after="160"/>
        <w:jc w:val="both"/>
      </w:pPr>
      <w:r>
        <w:rPr>
          <w:b/>
        </w:rPr>
        <w:t xml:space="preserve">At standard. </w:t>
      </w:r>
      <w:r>
        <w:t xml:space="preserve">No action.</w:t>
      </w:r>
    </w:p>
    <w:p>
      <w:pPr>
        <w:spacing w:after="160"/>
        <w:jc w:val="both"/>
      </w:pPr>
      <w:r>
        <w:rPr>
          <w:b/>
        </w:rPr>
        <w:t xml:space="preserve">In fallback. </w:t>
      </w:r>
      <w:r>
        <w:t xml:space="preserve">Contract Manager may approve. Check the credit cap against one month of actual charges to see what it is worth in cash.</w:t>
      </w:r>
    </w:p>
    <w:p>
      <w:pPr>
        <w:spacing w:after="160"/>
        <w:jc w:val="both"/>
      </w:pPr>
      <w:r>
        <w:rPr>
          <w:b/>
        </w:rPr>
        <w:t xml:space="preserve">Past walk-away. </w:t>
      </w:r>
      <w:r>
        <w:t xml:space="preserve">Escalate to Director of Contract Management. Credits below 5% do not change supplier behaviour, which is the only reason they exist.</w:t>
      </w:r>
    </w:p>
    <w:p>
      <w:pPr>
        <w:spacing w:after="160"/>
        <w:jc w:val="both"/>
      </w:pPr>
      <w:r>
        <w:rPr>
          <w:b/>
        </w:rPr>
        <w:t xml:space="preserve">Red flags. </w:t>
      </w:r>
      <w:r>
        <w:t xml:space="preserve">wording that is wrong at any number</w:t>
      </w:r>
    </w:p>
    <w:p>
      <w:pPr>
        <w:spacing w:after="160"/>
        <w:jc w:val="both"/>
      </w:pPr>
      <w:r>
        <w:t xml:space="preserve">-  Service credits stated as the client's 'sole and exclusive remedy' for performance failure.</w:t>
      </w:r>
    </w:p>
    <w:p>
      <w:pPr>
        <w:spacing w:after="160"/>
        <w:jc w:val="both"/>
      </w:pPr>
      <w:r>
        <w:t xml:space="preserve">-  A credit cap so low it is cheaper for the supplier to fail than to perform.</w:t>
      </w:r>
    </w:p>
    <w:p>
      <w:pPr>
        <w:spacing w:after="160"/>
        <w:jc w:val="both"/>
      </w:pPr>
      <w:r>
        <w:t xml:space="preserve">-  Measurement windows long enough that a month of failures averages out to a pass.</w:t>
      </w:r>
    </w:p>
    <w:p>
      <w:pPr>
        <w:spacing w:after="160"/>
        <w:jc w:val="both"/>
      </w:pPr>
      <w:r>
        <w:rPr>
          <w:b/>
        </w:rPr>
        <w:t xml:space="preserve">Tradeables. </w:t>
      </w:r>
      <w:r>
        <w:t xml:space="preserve">what may be conceded to hold this position, and what may not</w:t>
      </w:r>
    </w:p>
    <w:p>
      <w:pPr>
        <w:spacing w:after="160"/>
        <w:jc w:val="both"/>
      </w:pPr>
      <w:r>
        <w:t xml:space="preserve">-  A lower credit percentage is arguable where an earn-back mechanism or a termination right for persistent failure is added.</w:t>
      </w:r>
    </w:p>
    <w:p>
      <w:pPr>
        <w:spacing w:after="160"/>
        <w:jc w:val="both"/>
      </w:pPr>
      <w:r>
        <w:t xml:space="preserve">-  Never accept credits as the sole remedy: that removes the right to damages for the failure that mattered.</w:t>
      </w:r>
    </w:p>
    <w:p>
      <w:pPr>
        <w:spacing w:after="160"/>
        <w:jc w:val="both"/>
      </w:pPr>
      <w:r>
        <w:rPr>
          <w:b/>
        </w:rPr>
        <w:t xml:space="preserve">Model wording. </w:t>
      </w:r>
      <w:r>
        <w:t xml:space="preserve">what a draft is generated from</w:t>
      </w:r>
    </w:p>
    <w:p>
      <w:pPr>
        <w:spacing w:after="160"/>
        <w:jc w:val="both"/>
      </w:pP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after="160"/>
        <w:jc w:val="both"/>
      </w:pPr>
      <w:r>
        <w:rPr>
          <w:b/>
        </w:rPr>
        <w:t xml:space="preserve">Also called. </w:t>
      </w:r>
      <w:r>
        <w:t xml:space="preserve">Service Levels; Service Level Credits; Service Credits; SLA; KPIs</w:t>
      </w:r>
    </w:p>
    <w:p>
      <w:pPr>
        <w:spacing w:before="280" w:after="120"/>
      </w:pPr>
      <w:r>
        <w:rPr>
          <w:b/>
          <w:caps/>
          <w:sz w:val="24"/>
        </w:rPr>
        <w:t xml:space="preserve">8. DATA PROTECTION</w:t>
      </w:r>
    </w:p>
    <w:p>
      <w:pPr>
        <w:spacing w:after="160"/>
        <w:jc w:val="both"/>
      </w:pPr>
      <w:r>
        <w:t xml:space="preserve">Clause reference 12.1 · category compliance · risk weight 5/5 · change type Liability/Risk</w:t>
      </w:r>
    </w:p>
    <w:p>
      <w:pPr>
        <w:spacing w:after="160"/>
        <w:jc w:val="both"/>
      </w:pPr>
      <w:r>
        <w:rPr>
          <w:b/>
        </w:rPr>
        <w:t xml:space="preserve">Standard. </w:t>
      </w:r>
      <w:r>
        <w:t xml:space="preserve">[24 hours] Full UK/EU GDPR article 28 terms, no sub-processing without prior written consent, breach notification within 24 hours.</w:t>
      </w:r>
    </w:p>
    <w:p>
      <w:pPr>
        <w:spacing w:after="160"/>
        <w:jc w:val="both"/>
      </w:pPr>
      <w:r>
        <w:rPr>
          <w:b/>
        </w:rPr>
        <w:t xml:space="preserve">Fallback. </w:t>
      </w:r>
      <w:r>
        <w:t xml:space="preserve">[48 hours] Sub-processing on notice with a right to object; breach notification within 48 hours.</w:t>
      </w:r>
    </w:p>
    <w:p>
      <w:pPr>
        <w:spacing w:after="160"/>
        <w:jc w:val="both"/>
      </w:pPr>
      <w:r>
        <w:rPr>
          <w:b/>
        </w:rPr>
        <w:t xml:space="preserve">Walk away. </w:t>
      </w:r>
      <w:r>
        <w:t xml:space="preserve">[72 hours] No article 28 terms where personal data is processed, or notification beyond 72 hours.</w:t>
      </w:r>
    </w:p>
    <w:p>
      <w:pPr>
        <w:spacing w:after="160"/>
        <w:jc w:val="both"/>
      </w:pPr>
      <w:r>
        <w:rPr>
          <w:b/>
        </w:rPr>
        <w:t xml:space="preserve">Band. </w:t>
      </w:r>
      <w:r>
        <w:t xml:space="preserve">Measured in hours; higher is worse.</w:t>
      </w:r>
    </w:p>
    <w:p>
      <w:pPr>
        <w:spacing w:after="160"/>
        <w:jc w:val="both"/>
      </w:pPr>
      <w:r>
        <w:rPr>
          <w:b/>
        </w:rPr>
        <w:t xml:space="preserve">Why. </w:t>
      </w:r>
      <w:r>
        <w:t xml:space="preserve">72 hours is the regulator's deadline for the controller, so a processor notifying at 72 hours guarantees the controller misses it. The contractual clock has to be shorter than the statutory one.</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48 hours is workable if, and only if, the supplier notifies on discovery rather than on confirmation. Check which the wording says.</w:t>
      </w:r>
    </w:p>
    <w:p>
      <w:pPr>
        <w:spacing w:after="160"/>
        <w:jc w:val="both"/>
      </w:pPr>
      <w:r>
        <w:rPr>
          <w:b/>
        </w:rPr>
        <w:t xml:space="preserve">Past walk-away. </w:t>
      </w:r>
      <w:r>
        <w:t xml:space="preserve">Do not accept. Escalate to Head of Legal. Article 28 terms are set by law, so there is limited room to negotiate them anyway.</w:t>
      </w:r>
    </w:p>
    <w:p>
      <w:pPr>
        <w:spacing w:after="160"/>
        <w:jc w:val="both"/>
      </w:pPr>
      <w:r>
        <w:rPr>
          <w:b/>
        </w:rPr>
        <w:t xml:space="preserve">Red flags. </w:t>
      </w:r>
      <w:r>
        <w:t xml:space="preserve">wording that is wrong at any number</w:t>
      </w:r>
    </w:p>
    <w:p>
      <w:pPr>
        <w:spacing w:after="160"/>
        <w:jc w:val="both"/>
      </w:pPr>
      <w:r>
        <w:t xml:space="preserve">-  Breach notification measured in days rather than hours: the client's own 72-hour regulator clock starts at the supplier's discovery, not its notice.</w:t>
      </w:r>
    </w:p>
    <w:p>
      <w:pPr>
        <w:spacing w:after="160"/>
        <w:jc w:val="both"/>
      </w:pPr>
      <w:r>
        <w:t xml:space="preserve">-  General written authorisation for sub-processors with no right to object.</w:t>
      </w:r>
    </w:p>
    <w:p>
      <w:pPr>
        <w:spacing w:after="160"/>
        <w:jc w:val="both"/>
      </w:pPr>
      <w:r>
        <w:t xml:space="preserve">-  Audit rights reduced to a supplier-supplied certificate with no right to inspect.</w:t>
      </w:r>
    </w:p>
    <w:p>
      <w:pPr>
        <w:spacing w:after="160"/>
        <w:jc w:val="both"/>
      </w:pPr>
      <w:r>
        <w:rPr>
          <w:b/>
        </w:rPr>
        <w:t xml:space="preserve">Tradeables. </w:t>
      </w:r>
      <w:r>
        <w:t xml:space="preserve">what may be conceded to hold this position, and what may not</w:t>
      </w:r>
    </w:p>
    <w:p>
      <w:pPr>
        <w:spacing w:after="160"/>
        <w:jc w:val="both"/>
      </w:pPr>
      <w:r>
        <w:t xml:space="preserve">-  Almost nothing here is tradeable: UK/EU GDPR sets the required terms.</w:t>
      </w:r>
    </w:p>
    <w:p>
      <w:pPr>
        <w:spacing w:after="160"/>
        <w:jc w:val="both"/>
      </w:pPr>
      <w:r>
        <w:t xml:space="preserve">-  The negotiable part is operational: notification routing, audit scheduling, sub-processor lists.</w:t>
      </w:r>
    </w:p>
    <w:p>
      <w:pPr>
        <w:spacing w:after="160"/>
        <w:jc w:val="both"/>
      </w:pPr>
      <w:r>
        <w:rPr>
          <w:b/>
        </w:rPr>
        <w:t xml:space="preserve">Model wording. </w:t>
      </w:r>
      <w:r>
        <w:t xml:space="preserve">what a draft is generated from</w:t>
      </w:r>
    </w:p>
    <w:p>
      <w:pPr>
        <w:spacing w:after="160"/>
        <w:jc w:val="both"/>
      </w:pP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after="160"/>
        <w:jc w:val="both"/>
      </w:pPr>
      <w:r>
        <w:rPr>
          <w:b/>
        </w:rPr>
        <w:t xml:space="preserve">Also called. </w:t>
      </w:r>
      <w:r>
        <w:t xml:space="preserve">Data Protection; Personal Data; GDPR; Data Processing</w:t>
      </w:r>
    </w:p>
    <w:p>
      <w:pPr>
        <w:spacing w:before="280" w:after="120"/>
      </w:pPr>
      <w:r>
        <w:rPr>
          <w:b/>
          <w:caps/>
          <w:sz w:val="24"/>
        </w:rPr>
        <w:t xml:space="preserve">9. SUBCONTRACTING</w:t>
      </w:r>
    </w:p>
    <w:p>
      <w:pPr>
        <w:spacing w:after="160"/>
        <w:jc w:val="both"/>
      </w:pPr>
      <w:r>
        <w:t xml:space="preserve">Clause reference 10.2 · category operational · risk weight 3/5 · change type Administrative</w:t>
      </w:r>
    </w:p>
    <w:p>
      <w:pPr>
        <w:spacing w:after="160"/>
        <w:jc w:val="both"/>
      </w:pPr>
      <w:r>
        <w:rPr>
          <w:b/>
        </w:rPr>
        <w:t xml:space="preserve">Standard. </w:t>
      </w:r>
      <w:r>
        <w:t xml:space="preserve">No subcontracting without prior written consent; supplier remains fully liable for subcontractors.</w:t>
      </w:r>
    </w:p>
    <w:p>
      <w:pPr>
        <w:spacing w:after="160"/>
        <w:jc w:val="both"/>
      </w:pPr>
      <w:r>
        <w:rPr>
          <w:b/>
        </w:rPr>
        <w:t xml:space="preserve">Fallback. </w:t>
      </w:r>
      <w:r>
        <w:t xml:space="preserve">Subcontracting permitted to a named list, with consent required for additions.</w:t>
      </w:r>
    </w:p>
    <w:p>
      <w:pPr>
        <w:spacing w:after="160"/>
        <w:jc w:val="both"/>
      </w:pPr>
      <w:r>
        <w:rPr>
          <w:b/>
        </w:rPr>
        <w:t xml:space="preserve">Walk away. </w:t>
      </w:r>
      <w:r>
        <w:t xml:space="preserve">Subcontracting at will, or any dilution of the supplier's liability for its subcontractors.</w:t>
      </w:r>
    </w:p>
    <w:p>
      <w:pPr>
        <w:spacing w:after="160"/>
        <w:jc w:val="both"/>
      </w:pPr>
      <w:r>
        <w:rPr>
          <w:b/>
        </w:rPr>
        <w:t xml:space="preserve">Why. </w:t>
      </w:r>
      <w:r>
        <w:t xml:space="preserve">The liability point is the one that matters. Consent rights are administratively expensive; a supplier that stays liable for its chain has the incentive to manage it, and one that does not has the opposite.</w:t>
      </w:r>
    </w:p>
    <w:p>
      <w:pPr>
        <w:spacing w:after="160"/>
        <w:jc w:val="both"/>
      </w:pPr>
      <w:r>
        <w:rPr>
          <w:b/>
        </w:rPr>
        <w:t xml:space="preserve">Who approves. </w:t>
      </w:r>
      <w:r>
        <w:t xml:space="preserve">Inside the fallback band, Procurement / Supplier Manager may approve without escalation. Past the walk-away line the decision belongs to Director of Contract Management.</w:t>
      </w:r>
    </w:p>
    <w:p>
      <w:pPr>
        <w:spacing w:after="160"/>
        <w:jc w:val="both"/>
      </w:pPr>
      <w:r>
        <w:rPr>
          <w:b/>
        </w:rPr>
        <w:t xml:space="preserve">At standard. </w:t>
      </w:r>
      <w:r>
        <w:t xml:space="preserve">No action.</w:t>
      </w:r>
    </w:p>
    <w:p>
      <w:pPr>
        <w:spacing w:after="160"/>
        <w:jc w:val="both"/>
      </w:pPr>
      <w:r>
        <w:rPr>
          <w:b/>
        </w:rPr>
        <w:t xml:space="preserve">In fallback. </w:t>
      </w:r>
      <w:r>
        <w:t xml:space="preserve">Procurement may approve a named list. Get the list, and get it into a schedule so it cannot change silently.</w:t>
      </w:r>
    </w:p>
    <w:p>
      <w:pPr>
        <w:spacing w:after="160"/>
        <w:jc w:val="both"/>
      </w:pPr>
      <w:r>
        <w:rPr>
          <w:b/>
        </w:rPr>
        <w:t xml:space="preserve">Past walk-away. </w:t>
      </w:r>
      <w:r>
        <w:t xml:space="preserve">Do not accept. Escalate. Statutory compliance work must stay with the party that was vetted for it.</w:t>
      </w:r>
    </w:p>
    <w:p>
      <w:pPr>
        <w:spacing w:after="160"/>
        <w:jc w:val="both"/>
      </w:pPr>
      <w:r>
        <w:rPr>
          <w:b/>
        </w:rPr>
        <w:t xml:space="preserve">Red flags. </w:t>
      </w:r>
      <w:r>
        <w:t xml:space="preserve">wording that is wrong at any number</w:t>
      </w:r>
    </w:p>
    <w:p>
      <w:pPr>
        <w:spacing w:after="160"/>
        <w:jc w:val="both"/>
      </w:pPr>
      <w:r>
        <w:t xml:space="preserve">-  Free subcontracting of the whole service, which makes the counterparty a broker rather than a supplier.</w:t>
      </w:r>
    </w:p>
    <w:p>
      <w:pPr>
        <w:spacing w:after="160"/>
        <w:jc w:val="both"/>
      </w:pPr>
      <w:r>
        <w:t xml:space="preserve">-  The prime's responsibility for subcontractor acts deleted alongside the consent right.</w:t>
      </w:r>
    </w:p>
    <w:p>
      <w:pPr>
        <w:spacing w:after="160"/>
        <w:jc w:val="both"/>
      </w:pPr>
      <w:r>
        <w:t xml:space="preserve">-  Assignment permitted to any group company: group structures change without notice.</w:t>
      </w:r>
    </w:p>
    <w:p>
      <w:pPr>
        <w:spacing w:after="160"/>
        <w:jc w:val="both"/>
      </w:pPr>
      <w:r>
        <w:rPr>
          <w:b/>
        </w:rPr>
        <w:t xml:space="preserve">Tradeables. </w:t>
      </w:r>
      <w:r>
        <w:t xml:space="preserve">what may be conceded to hold this position, and what may not</w:t>
      </w:r>
    </w:p>
    <w:p>
      <w:pPr>
        <w:spacing w:after="160"/>
        <w:jc w:val="both"/>
      </w:pPr>
      <w:r>
        <w:t xml:space="preserve">-  Consent-not-unreasonably-withheld is the usual landing point and is fine.</w:t>
      </w:r>
    </w:p>
    <w:p>
      <w:pPr>
        <w:spacing w:after="160"/>
        <w:jc w:val="both"/>
      </w:pPr>
      <w:r>
        <w:t xml:space="preserve">-  Prime responsibility for subcontractor performance is not tradeable.</w:t>
      </w:r>
    </w:p>
    <w:p>
      <w:pPr>
        <w:spacing w:after="160"/>
        <w:jc w:val="both"/>
      </w:pPr>
      <w:r>
        <w:rPr>
          <w:b/>
        </w:rPr>
        <w:t xml:space="preserve">Model wording. </w:t>
      </w:r>
      <w:r>
        <w:t xml:space="preserve">what a draft is generated from</w:t>
      </w:r>
    </w:p>
    <w:p>
      <w:pPr>
        <w:spacing w:after="160"/>
        <w:jc w:val="both"/>
      </w:pP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after="160"/>
        <w:jc w:val="both"/>
      </w:pPr>
      <w:r>
        <w:rPr>
          <w:b/>
        </w:rPr>
        <w:t xml:space="preserve">Also called. </w:t>
      </w:r>
      <w:r>
        <w:t xml:space="preserve">Subcontracting; Assignment and Subcontracting; Sub-contractors</w:t>
      </w:r>
    </w:p>
    <w:p>
      <w:pPr>
        <w:spacing w:before="280" w:after="120"/>
      </w:pPr>
      <w:r>
        <w:rPr>
          <w:b/>
          <w:caps/>
          <w:sz w:val="24"/>
        </w:rPr>
        <w:t xml:space="preserve">10. HEALTH, SAFETY AND STATUTORY COMPLIANCE</w:t>
      </w:r>
    </w:p>
    <w:p>
      <w:pPr>
        <w:spacing w:after="160"/>
        <w:jc w:val="both"/>
      </w:pPr>
      <w:r>
        <w:t xml:space="preserve">Clause reference 13.1 · category compliance · risk weight 5/5 · change type Insurance/Risk</w:t>
      </w:r>
    </w:p>
    <w:p>
      <w:pPr>
        <w:spacing w:after="160"/>
        <w:jc w:val="both"/>
      </w:pPr>
      <w:r>
        <w:rPr>
          <w:b/>
        </w:rPr>
        <w:t xml:space="preserve">Standard. </w:t>
      </w:r>
      <w:r>
        <w:t xml:space="preserve">Supplier complies with all applicable health and safety law, holds relevant accreditation, and provides evidence of statutory inspections within five working days of request.</w:t>
      </w:r>
    </w:p>
    <w:p>
      <w:pPr>
        <w:spacing w:after="160"/>
        <w:jc w:val="both"/>
      </w:pPr>
      <w:r>
        <w:rPr>
          <w:b/>
        </w:rPr>
        <w:t xml:space="preserve">Fallback. </w:t>
      </w:r>
      <w:r>
        <w:t xml:space="preserve">Evidence within ten working days.</w:t>
      </w:r>
    </w:p>
    <w:p>
      <w:pPr>
        <w:spacing w:after="160"/>
        <w:jc w:val="both"/>
      </w:pPr>
      <w:r>
        <w:rPr>
          <w:b/>
        </w:rPr>
        <w:t xml:space="preserve">Walk away. </w:t>
      </w:r>
      <w:r>
        <w:t xml:space="preserve">Any dilution of statutory compliance obligations, or refusal to evidence inspections.</w:t>
      </w:r>
    </w:p>
    <w:p>
      <w:pPr>
        <w:spacing w:after="160"/>
        <w:jc w:val="both"/>
      </w:pPr>
      <w:r>
        <w:rPr>
          <w:b/>
        </w:rPr>
        <w:t xml:space="preserve">Why. </w:t>
      </w:r>
      <w:r>
        <w:t xml:space="preserve">In hard FM this is the clause that keeps a client out of court. Statutory inspection duties for lifts, fire systems and pressure vessels do not transfer with the service: the duty holder remains liable, so the evidence has to be obtainable on demand.</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Only where the client genuinely retains the duty holder role for that asset, and the contract says which assets.</w:t>
      </w:r>
    </w:p>
    <w:p>
      <w:pPr>
        <w:spacing w:after="160"/>
        <w:jc w:val="both"/>
      </w:pPr>
      <w:r>
        <w:rPr>
          <w:b/>
        </w:rPr>
        <w:t xml:space="preserve">Past walk-away. </w:t>
      </w:r>
      <w:r>
        <w:t xml:space="preserve">Do not accept. Escalate to Head of Legal. A fire or lift inspection lapse is a criminal exposure for the client's officers.</w:t>
      </w:r>
    </w:p>
    <w:p>
      <w:pPr>
        <w:spacing w:after="160"/>
        <w:jc w:val="both"/>
      </w:pPr>
      <w:r>
        <w:rPr>
          <w:b/>
        </w:rPr>
        <w:t xml:space="preserve">Red flags. </w:t>
      </w:r>
      <w:r>
        <w:t xml:space="preserve">wording that is wrong at any number</w:t>
      </w:r>
    </w:p>
    <w:p>
      <w:pPr>
        <w:spacing w:after="160"/>
        <w:jc w:val="both"/>
      </w:pPr>
      <w:r>
        <w:t xml:space="preserve">-  Statutory compliance framed as 'reasonable endeavours': a duty imposed by statute is not an endeavours obligation.</w:t>
      </w:r>
    </w:p>
    <w:p>
      <w:pPr>
        <w:spacing w:after="160"/>
        <w:jc w:val="both"/>
      </w:pPr>
      <w:r>
        <w:t xml:space="preserve">-  The client made responsible for compliance on work the supplier controls.</w:t>
      </w:r>
    </w:p>
    <w:p>
      <w:pPr>
        <w:spacing w:after="160"/>
        <w:jc w:val="both"/>
      </w:pPr>
      <w:r>
        <w:t xml:space="preserve">-  Records obligation removed: without records there is no evidence of compliance to produce to an inspector.</w:t>
      </w:r>
    </w:p>
    <w:p>
      <w:pPr>
        <w:spacing w:after="160"/>
        <w:jc w:val="both"/>
      </w:pPr>
      <w:r>
        <w:rPr>
          <w:b/>
        </w:rPr>
        <w:t xml:space="preserve">Tradeables. </w:t>
      </w:r>
      <w:r>
        <w:t xml:space="preserve">what may be conceded to hold this position, and what may not</w:t>
      </w:r>
    </w:p>
    <w:p>
      <w:pPr>
        <w:spacing w:after="160"/>
        <w:jc w:val="both"/>
      </w:pPr>
      <w:r>
        <w:t xml:space="preserve">-  How compliance is evidenced and how often is tradeable.</w:t>
      </w:r>
    </w:p>
    <w:p>
      <w:pPr>
        <w:spacing w:after="160"/>
        <w:jc w:val="both"/>
      </w:pPr>
      <w:r>
        <w:t xml:space="preserve">-  Who holds the statutory duty is not.</w:t>
      </w:r>
    </w:p>
    <w:p>
      <w:pPr>
        <w:spacing w:after="160"/>
        <w:jc w:val="both"/>
      </w:pPr>
      <w:r>
        <w:rPr>
          <w:b/>
        </w:rPr>
        <w:t xml:space="preserve">Model wording. </w:t>
      </w:r>
      <w:r>
        <w:t xml:space="preserve">what a draft is generated from</w:t>
      </w:r>
    </w:p>
    <w:p>
      <w:pPr>
        <w:spacing w:after="160"/>
        <w:jc w:val="both"/>
      </w:pP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after="160"/>
        <w:jc w:val="both"/>
      </w:pPr>
      <w:r>
        <w:rPr>
          <w:b/>
        </w:rPr>
        <w:t xml:space="preserve">Also called. </w:t>
      </w:r>
      <w:r>
        <w:t xml:space="preserve">Health and Safety; Statutory Compliance; Compliance with Law; HSE</w:t>
      </w:r>
    </w:p>
    <w:p>
      <w:pPr>
        <w:spacing w:before="280" w:after="120"/>
      </w:pPr>
      <w:r>
        <w:rPr>
          <w:b/>
          <w:caps/>
          <w:sz w:val="24"/>
        </w:rPr>
        <w:t xml:space="preserve">11. TUPE AND EMPLOYEE TRANSFER</w:t>
      </w:r>
    </w:p>
    <w:p>
      <w:pPr>
        <w:spacing w:after="160"/>
        <w:jc w:val="both"/>
      </w:pPr>
      <w:r>
        <w:t xml:space="preserve">Clause reference 14.1 · category employment · risk weight 4/5 · change type Administrative · jurisdiction GB only</w:t>
      </w:r>
    </w:p>
    <w:p>
      <w:pPr>
        <w:spacing w:after="160"/>
        <w:jc w:val="both"/>
      </w:pPr>
      <w:r>
        <w:rPr>
          <w:b/>
        </w:rPr>
        <w:t xml:space="preserve">Standard. </w:t>
      </w:r>
      <w:r>
        <w:t xml:space="preserve">[28 days] Supplier provides employee liability information 28 days before transfer, indemnifies for pre-transfer employment liabilities, and bears the cost of its own redundancies on exit.</w:t>
      </w:r>
    </w:p>
    <w:p>
      <w:pPr>
        <w:spacing w:after="160"/>
        <w:jc w:val="both"/>
      </w:pPr>
      <w:r>
        <w:rPr>
          <w:b/>
        </w:rPr>
        <w:t xml:space="preserve">Fallback. </w:t>
      </w:r>
      <w:r>
        <w:t xml:space="preserve">[21 days] Employee liability information 21 days before transfer, with a shared-cost mechanism for exit redundancies.</w:t>
      </w:r>
    </w:p>
    <w:p>
      <w:pPr>
        <w:spacing w:after="160"/>
        <w:jc w:val="both"/>
      </w:pPr>
      <w:r>
        <w:rPr>
          <w:b/>
        </w:rPr>
        <w:t xml:space="preserve">Walk away. </w:t>
      </w:r>
      <w:r>
        <w:t xml:space="preserve">No employee liability information, or a client indemnity for the supplier's pre-transfer liabilities.</w:t>
      </w:r>
    </w:p>
    <w:p>
      <w:pPr>
        <w:spacing w:after="160"/>
        <w:jc w:val="both"/>
      </w:pPr>
      <w:r>
        <w:rPr>
          <w:b/>
        </w:rPr>
        <w:t xml:space="preserve">Band. </w:t>
      </w:r>
      <w:r>
        <w:t xml:space="preserve">Measured in days; lower is worse.</w:t>
      </w:r>
    </w:p>
    <w:p>
      <w:pPr>
        <w:spacing w:after="160"/>
        <w:jc w:val="both"/>
      </w:pPr>
      <w:r>
        <w:rPr>
          <w:b/>
        </w:rPr>
        <w:t xml:space="preserve">Why. </w:t>
      </w:r>
      <w:r>
        <w:t xml:space="preserve">UK-specific and unavoidable: on a service-provider change staff transfer by operation of law whether or not the contract mentions it. The contract only allocates the cost, and if it is silent, the cost lands on the client.</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Legal may approve twenty-one (21) days where the population is small and stable, provided the shared-cost mechanism for exit redundancies is in.</w:t>
      </w:r>
    </w:p>
    <w:p>
      <w:pPr>
        <w:spacing w:after="160"/>
        <w:jc w:val="both"/>
      </w:pPr>
      <w:r>
        <w:rPr>
          <w:b/>
        </w:rPr>
        <w:t xml:space="preserve">Past walk-away. </w:t>
      </w:r>
      <w:r>
        <w:t xml:space="preserve">Do not accept. Escalate to Head of Legal: an unindemnified pre-transfer liability is open-ended, and a client indemnity for the supplier's own pre-transfer acts is the wrong way round.</w:t>
      </w:r>
    </w:p>
    <w:p>
      <w:pPr>
        <w:spacing w:after="160"/>
        <w:jc w:val="both"/>
      </w:pPr>
      <w:r>
        <w:rPr>
          <w:b/>
        </w:rPr>
        <w:t xml:space="preserve">Red flags. </w:t>
      </w:r>
      <w:r>
        <w:t xml:space="preserve">wording that is wrong at any number</w:t>
      </w:r>
    </w:p>
    <w:p>
      <w:pPr>
        <w:spacing w:after="160"/>
        <w:jc w:val="both"/>
      </w:pPr>
      <w:r>
        <w:t xml:space="preserve">-  Employee liability information promised 'on request' rather than by a fixed date before transfer.</w:t>
      </w:r>
    </w:p>
    <w:p>
      <w:pPr>
        <w:spacing w:after="160"/>
        <w:jc w:val="both"/>
      </w:pPr>
      <w:r>
        <w:t xml:space="preserve">-  No indemnity for pre-transfer employment liabilities, which then land on the incoming party.</w:t>
      </w:r>
    </w:p>
    <w:p>
      <w:pPr>
        <w:spacing w:after="160"/>
        <w:jc w:val="both"/>
      </w:pPr>
      <w:r>
        <w:t xml:space="preserve">-  Pension obligations left unaddressed entirely.</w:t>
      </w:r>
    </w:p>
    <w:p>
      <w:pPr>
        <w:spacing w:after="160"/>
        <w:jc w:val="both"/>
      </w:pPr>
      <w:r>
        <w:rPr>
          <w:b/>
        </w:rPr>
        <w:t xml:space="preserve">Tradeables. </w:t>
      </w:r>
      <w:r>
        <w:t xml:space="preserve">what may be conceded to hold this position, and what may not</w:t>
      </w:r>
    </w:p>
    <w:p>
      <w:pPr>
        <w:spacing w:after="160"/>
        <w:jc w:val="both"/>
      </w:pPr>
      <w:r>
        <w:t xml:space="preserve">-  The information deadline can move a little.</w:t>
      </w:r>
    </w:p>
    <w:p>
      <w:pPr>
        <w:spacing w:after="160"/>
        <w:jc w:val="both"/>
      </w:pPr>
      <w:r>
        <w:t xml:space="preserve">-  The indemnity for pre-transfer liabilities cannot.</w:t>
      </w:r>
    </w:p>
    <w:p>
      <w:pPr>
        <w:spacing w:after="160"/>
        <w:jc w:val="both"/>
      </w:pPr>
      <w:r>
        <w:rPr>
          <w:b/>
        </w:rPr>
        <w:t xml:space="preserve">Model wording. </w:t>
      </w:r>
      <w:r>
        <w:t xml:space="preserve">what a draft is generated from</w:t>
      </w:r>
    </w:p>
    <w:p>
      <w:pPr>
        <w:spacing w:after="160"/>
        <w:jc w:val="both"/>
      </w:pPr>
      <w:r>
        <w:t xml:space="preserve">The parties acknowledge that TUPE may apply on commencement and on exit. The outgoing party shall provide complete and accurate employee liability information not less than twenty-eight (28) days before the relevant transfer date, and shall indemnify the incoming party against all liabilities arising from its acts or omissions before that date.</w:t>
      </w:r>
    </w:p>
    <w:p>
      <w:pPr>
        <w:spacing w:after="160"/>
        <w:jc w:val="both"/>
      </w:pPr>
      <w:r>
        <w:rPr>
          <w:b/>
        </w:rPr>
        <w:t xml:space="preserve">Also called. </w:t>
      </w:r>
      <w:r>
        <w:t xml:space="preserve">TUPE; Employee Transfer; Staff Transfer; Employment</w:t>
      </w:r>
    </w:p>
    <w:p>
      <w:pPr>
        <w:spacing w:before="280" w:after="120"/>
      </w:pPr>
      <w:r>
        <w:rPr>
          <w:b/>
          <w:caps/>
          <w:sz w:val="24"/>
        </w:rPr>
        <w:t xml:space="preserve">12. GOVERNING LAW AND JURISDICTION</w:t>
      </w:r>
    </w:p>
    <w:p>
      <w:pPr>
        <w:spacing w:after="160"/>
        <w:jc w:val="both"/>
      </w:pPr>
      <w:r>
        <w:t xml:space="preserve">Clause reference 16.1 · category legal · risk weight 2/5 · change type Administrative</w:t>
      </w:r>
    </w:p>
    <w:p>
      <w:pPr>
        <w:spacing w:after="160"/>
        <w:jc w:val="both"/>
      </w:pPr>
      <w:r>
        <w:rPr>
          <w:b/>
        </w:rPr>
        <w:t xml:space="preserve">Standard. </w:t>
      </w:r>
      <w:r>
        <w:t xml:space="preserve">Governed by the law of the client legal entity's jurisdiction, with exclusive jurisdiction of its courts.</w:t>
      </w:r>
    </w:p>
    <w:p>
      <w:pPr>
        <w:spacing w:after="160"/>
        <w:jc w:val="both"/>
      </w:pPr>
      <w:r>
        <w:rPr>
          <w:b/>
        </w:rPr>
        <w:t xml:space="preserve">Fallback. </w:t>
      </w:r>
      <w:r>
        <w:t xml:space="preserve">The client entity's law with non-exclusive jurisdiction.</w:t>
      </w:r>
    </w:p>
    <w:p>
      <w:pPr>
        <w:spacing w:after="160"/>
        <w:jc w:val="both"/>
      </w:pPr>
      <w:r>
        <w:rPr>
          <w:b/>
        </w:rPr>
        <w:t xml:space="preserve">Walk away. </w:t>
      </w:r>
      <w:r>
        <w:t xml:space="preserve">The supplier's home jurisdiction, or arbitration in a third country.</w:t>
      </w:r>
    </w:p>
    <w:p>
      <w:pPr>
        <w:spacing w:after="160"/>
        <w:jc w:val="both"/>
      </w:pPr>
      <w:r>
        <w:rPr>
          <w:b/>
        </w:rPr>
        <w:t xml:space="preserve">Why. </w:t>
      </w:r>
      <w:r>
        <w:t xml:space="preserve">This is also what P2.16 keys off: the legal entity's jurisdiction is what determines the timezone a notice period resolves in. A contract governed elsewhere quietly changes when a deadline falls.</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Legal may approve where the supplier's operating entity is in that jurisdiction and enforcement is realistic.</w:t>
      </w:r>
    </w:p>
    <w:p>
      <w:pPr>
        <w:spacing w:after="160"/>
        <w:jc w:val="both"/>
      </w:pPr>
      <w:r>
        <w:rPr>
          <w:b/>
        </w:rPr>
        <w:t xml:space="preserve">Past walk-away. </w:t>
      </w:r>
      <w:r>
        <w:t xml:space="preserve">Escalate. A judgment that cannot be enforced is a document, not a remedy.</w:t>
      </w:r>
    </w:p>
    <w:p>
      <w:pPr>
        <w:spacing w:after="160"/>
        <w:jc w:val="both"/>
      </w:pPr>
      <w:r>
        <w:rPr>
          <w:b/>
        </w:rPr>
        <w:t xml:space="preserve">Red flags. </w:t>
      </w:r>
      <w:r>
        <w:t xml:space="preserve">wording that is wrong at any number</w:t>
      </w:r>
    </w:p>
    <w:p>
      <w:pPr>
        <w:spacing w:after="160"/>
        <w:jc w:val="both"/>
      </w:pPr>
      <w:r>
        <w:t xml:space="preserve">-  Law and forum split across two countries, which doubles the cost of any dispute.</w:t>
      </w:r>
    </w:p>
    <w:p>
      <w:pPr>
        <w:spacing w:after="160"/>
        <w:jc w:val="both"/>
      </w:pPr>
      <w:r>
        <w:t xml:space="preserve">-  Mandatory arbitration in a seat neither party operates in.</w:t>
      </w:r>
    </w:p>
    <w:p>
      <w:pPr>
        <w:spacing w:after="160"/>
        <w:jc w:val="both"/>
      </w:pPr>
      <w:r>
        <w:t xml:space="preserve">-  A jurisdiction with no enforcement treaty covering the client's assets.</w:t>
      </w:r>
    </w:p>
    <w:p>
      <w:pPr>
        <w:spacing w:after="160"/>
        <w:jc w:val="both"/>
      </w:pPr>
      <w:r>
        <w:rPr>
          <w:b/>
        </w:rPr>
        <w:t xml:space="preserve">Tradeables. </w:t>
      </w:r>
      <w:r>
        <w:t xml:space="preserve">what may be conceded to hold this position, and what may not</w:t>
      </w:r>
    </w:p>
    <w:p>
      <w:pPr>
        <w:spacing w:after="160"/>
        <w:jc w:val="both"/>
      </w:pPr>
      <w:r>
        <w:t xml:space="preserve">-  Forum can move if the law stays.</w:t>
      </w:r>
    </w:p>
    <w:p>
      <w:pPr>
        <w:spacing w:after="160"/>
        <w:jc w:val="both"/>
      </w:pPr>
      <w:r>
        <w:t xml:space="preserve">-  Splitting law from forum is a false economy. Refuse it.</w:t>
      </w:r>
    </w:p>
    <w:p>
      <w:pPr>
        <w:spacing w:after="160"/>
        <w:jc w:val="both"/>
      </w:pPr>
      <w:r>
        <w:rPr>
          <w:b/>
        </w:rPr>
        <w:t xml:space="preserve">Model wording. </w:t>
      </w:r>
      <w:r>
        <w:t xml:space="preserve">what a draft is generated from</w:t>
      </w:r>
    </w:p>
    <w:p>
      <w:pPr>
        <w:spacing w:after="160"/>
        <w:jc w:val="both"/>
      </w:pPr>
      <w:r>
        <w:t xml:space="preserve">This Agreement and any dispute arising out of it are governed by the laws of England and Wales, and the parties submit to the exclusive jurisdiction of the courts of England and Wales.</w:t>
      </w:r>
    </w:p>
    <w:p>
      <w:pPr>
        <w:spacing w:after="160"/>
        <w:jc w:val="both"/>
      </w:pPr>
      <w:r>
        <w:rPr>
          <w:b/>
        </w:rPr>
        <w:t xml:space="preserve">Also called. </w:t>
      </w:r>
      <w:r>
        <w:t xml:space="preserve">Governing Law; Jurisdiction; Governing Law and Jurisdiction; Applicable Law</w:t>
      </w:r>
    </w:p>
    <w:p>
      <w:pPr>
        <w:spacing w:before="280" w:after="120"/>
      </w:pPr>
      <w:r>
        <w:rPr>
          <w:b/>
          <w:caps/>
          <w:sz w:val="24"/>
        </w:rPr>
        <w:t xml:space="preserve">13. FORCE MAJEURE</w:t>
      </w:r>
    </w:p>
    <w:p>
      <w:pPr>
        <w:spacing w:after="160"/>
        <w:jc w:val="both"/>
      </w:pPr>
      <w:r>
        <w:t xml:space="preserve">Clause reference 15.1 · category legal · risk weight 3/5 · change type Termination</w:t>
      </w:r>
    </w:p>
    <w:p>
      <w:pPr>
        <w:spacing w:after="160"/>
        <w:jc w:val="both"/>
      </w:pPr>
      <w:r>
        <w:rPr>
          <w:b/>
        </w:rPr>
        <w:t xml:space="preserve">Standard. </w:t>
      </w:r>
      <w:r>
        <w:t xml:space="preserve">Suspension of obligations for genuinely unforeseeable events; termination right if it continues beyond 60 days. Payment obligations are not excused.</w:t>
      </w:r>
    </w:p>
    <w:p>
      <w:pPr>
        <w:spacing w:after="160"/>
        <w:jc w:val="both"/>
      </w:pPr>
      <w:r>
        <w:rPr>
          <w:b/>
        </w:rPr>
        <w:t xml:space="preserve">Fallback. </w:t>
      </w:r>
      <w:r>
        <w:t xml:space="preserve">Termination right after 90 days.</w:t>
      </w:r>
    </w:p>
    <w:p>
      <w:pPr>
        <w:spacing w:after="160"/>
        <w:jc w:val="both"/>
      </w:pPr>
      <w:r>
        <w:rPr>
          <w:b/>
        </w:rPr>
        <w:t xml:space="preserve">Walk away. </w:t>
      </w:r>
      <w:r>
        <w:t xml:space="preserve">Supplier failure or subcontractor failure listed as force majeure, or charges continuing at full rate while services are suspended.</w:t>
      </w:r>
    </w:p>
    <w:p>
      <w:pPr>
        <w:spacing w:after="160"/>
        <w:jc w:val="both"/>
      </w:pPr>
      <w:r>
        <w:rPr>
          <w:b/>
        </w:rPr>
        <w:t xml:space="preserve">Why. </w:t>
      </w:r>
      <w:r>
        <w:t xml:space="preserve">The walk-away is the whole clause. A force majeure definition broad enough to include the supplier's own supply chain converts a service failure into an excused event, and the client pays for services it is not receiving.</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Legal may approve 90 days where the service is not business-critical.</w:t>
      </w:r>
    </w:p>
    <w:p>
      <w:pPr>
        <w:spacing w:after="160"/>
        <w:jc w:val="both"/>
      </w:pPr>
      <w:r>
        <w:rPr>
          <w:b/>
        </w:rPr>
        <w:t xml:space="preserve">Past walk-away. </w:t>
      </w:r>
      <w:r>
        <w:t xml:space="preserve">Do not accept an open-ended relief with no exit. Escalate.</w:t>
      </w:r>
    </w:p>
    <w:p>
      <w:pPr>
        <w:spacing w:after="160"/>
        <w:jc w:val="both"/>
      </w:pPr>
      <w:r>
        <w:rPr>
          <w:b/>
        </w:rPr>
        <w:t xml:space="preserve">Red flags. </w:t>
      </w:r>
      <w:r>
        <w:t xml:space="preserve">wording that is wrong at any number</w:t>
      </w:r>
    </w:p>
    <w:p>
      <w:pPr>
        <w:spacing w:after="160"/>
        <w:jc w:val="both"/>
      </w:pPr>
      <w:r>
        <w:t xml:space="preserve">-  Labour disputes involving the supplier's own workforce listed as force majeure: that is management, not an act of God.</w:t>
      </w:r>
    </w:p>
    <w:p>
      <w:pPr>
        <w:spacing w:after="160"/>
        <w:jc w:val="both"/>
      </w:pPr>
      <w:r>
        <w:t xml:space="preserve">-  Relief with no long-stop termination right, so the contract sits suspended indefinitely.</w:t>
      </w:r>
    </w:p>
    <w:p>
      <w:pPr>
        <w:spacing w:after="160"/>
        <w:jc w:val="both"/>
      </w:pPr>
      <w:r>
        <w:t xml:space="preserve">-  Supplier relieved from liability but the client still obliged to pay in full.</w:t>
      </w:r>
    </w:p>
    <w:p>
      <w:pPr>
        <w:spacing w:after="160"/>
        <w:jc w:val="both"/>
      </w:pPr>
      <w:r>
        <w:rPr>
          <w:b/>
        </w:rPr>
        <w:t xml:space="preserve">Tradeables. </w:t>
      </w:r>
      <w:r>
        <w:t xml:space="preserve">what may be conceded to hold this position, and what may not</w:t>
      </w:r>
    </w:p>
    <w:p>
      <w:pPr>
        <w:spacing w:after="160"/>
        <w:jc w:val="both"/>
      </w:pPr>
      <w:r>
        <w:t xml:space="preserve">-  The list of qualifying events is tradeable within reason.</w:t>
      </w:r>
    </w:p>
    <w:p>
      <w:pPr>
        <w:spacing w:after="160"/>
        <w:jc w:val="both"/>
      </w:pPr>
      <w:r>
        <w:t xml:space="preserve">-  The long-stop termination right is what makes the clause survivable. Keep it.</w:t>
      </w:r>
    </w:p>
    <w:p>
      <w:pPr>
        <w:spacing w:after="160"/>
        <w:jc w:val="both"/>
      </w:pPr>
      <w:r>
        <w:rPr>
          <w:b/>
        </w:rPr>
        <w:t xml:space="preserve">Model wording. </w:t>
      </w:r>
      <w:r>
        <w:t xml:space="preserve">what a draft is generated from</w:t>
      </w:r>
    </w:p>
    <w:p>
      <w:pPr>
        <w:spacing w:after="160"/>
        <w:jc w:val="both"/>
      </w:pP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after="160"/>
        <w:jc w:val="both"/>
      </w:pPr>
      <w:r>
        <w:rPr>
          <w:b/>
        </w:rPr>
        <w:t xml:space="preserve">Also called. </w:t>
      </w:r>
      <w:r>
        <w:t xml:space="preserve">Force Majeure; Events Beyond Reasonable Control</w:t>
      </w:r>
    </w:p>
    <w:p>
      <w:pPr>
        <w:spacing w:before="280" w:after="120"/>
      </w:pPr>
      <w:r>
        <w:rPr>
          <w:b/>
          <w:caps/>
          <w:sz w:val="24"/>
        </w:rPr>
        <w:t xml:space="preserve">14. INTELLECTUAL PROPERTY</w:t>
      </w:r>
    </w:p>
    <w:p>
      <w:pPr>
        <w:spacing w:after="160"/>
        <w:jc w:val="both"/>
      </w:pPr>
      <w:r>
        <w:t xml:space="preserve">Clause reference 17.1 · category legal · risk weight 3/5 · change type Administrative</w:t>
      </w:r>
    </w:p>
    <w:p>
      <w:pPr>
        <w:spacing w:after="160"/>
        <w:jc w:val="both"/>
      </w:pPr>
      <w:r>
        <w:rPr>
          <w:b/>
        </w:rPr>
        <w:t xml:space="preserve">Standard. </w:t>
      </w:r>
      <w:r>
        <w:t xml:space="preserve">Client owns deliverables created for it; supplier retains its pre-existing IP and grants a perpetual licence to use it in connection with the deliverables.</w:t>
      </w:r>
    </w:p>
    <w:p>
      <w:pPr>
        <w:spacing w:after="160"/>
        <w:jc w:val="both"/>
      </w:pPr>
      <w:r>
        <w:rPr>
          <w:b/>
        </w:rPr>
        <w:t xml:space="preserve">Fallback. </w:t>
      </w:r>
      <w:r>
        <w:t xml:space="preserve">Supplier owns deliverables and grants the client a perpetual, irrevocable, transferable licence.</w:t>
      </w:r>
    </w:p>
    <w:p>
      <w:pPr>
        <w:spacing w:after="160"/>
        <w:jc w:val="both"/>
      </w:pPr>
      <w:r>
        <w:rPr>
          <w:b/>
        </w:rPr>
        <w:t xml:space="preserve">Walk away. </w:t>
      </w:r>
      <w:r>
        <w:t xml:space="preserve">No licence to background IP embedded in a deliverable the client is expected to use.</w:t>
      </w:r>
    </w:p>
    <w:p>
      <w:pPr>
        <w:spacing w:after="160"/>
        <w:jc w:val="both"/>
      </w:pPr>
      <w:r>
        <w:rPr>
          <w:b/>
        </w:rPr>
        <w:t xml:space="preserve">Why. </w:t>
      </w:r>
      <w:r>
        <w:t xml:space="preserve">The realistic failure is a survey or design the client owns on paper but cannot use, because it depends on the supplier's methodology and no licence was granted.</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A perpetual irrevocable licence is functionally equivalent for most FM deliverables. Confirm it is perpetual and survives termination.</w:t>
      </w:r>
    </w:p>
    <w:p>
      <w:pPr>
        <w:spacing w:after="160"/>
        <w:jc w:val="both"/>
      </w:pPr>
      <w:r>
        <w:rPr>
          <w:b/>
        </w:rPr>
        <w:t xml:space="preserve">Past walk-away. </w:t>
      </w:r>
      <w:r>
        <w:t xml:space="preserve">Do not accept a licence that ends on termination. Escalate.</w:t>
      </w:r>
    </w:p>
    <w:p>
      <w:pPr>
        <w:spacing w:after="160"/>
        <w:jc w:val="both"/>
      </w:pPr>
      <w:r>
        <w:rPr>
          <w:b/>
        </w:rPr>
        <w:t xml:space="preserve">Red flags. </w:t>
      </w:r>
      <w:r>
        <w:t xml:space="preserve">wording that is wrong at any number</w:t>
      </w:r>
    </w:p>
    <w:p>
      <w:pPr>
        <w:spacing w:after="160"/>
        <w:jc w:val="both"/>
      </w:pPr>
      <w:r>
        <w:t xml:space="preserve">-  Deliverables licensed rather than assigned, with the licence ending on termination: the client loses its own asset register.</w:t>
      </w:r>
    </w:p>
    <w:p>
      <w:pPr>
        <w:spacing w:after="160"/>
        <w:jc w:val="both"/>
      </w:pPr>
      <w:r>
        <w:t xml:space="preserve">-  Client data treated as supplier background IP.</w:t>
      </w:r>
    </w:p>
    <w:p>
      <w:pPr>
        <w:spacing w:after="160"/>
        <w:jc w:val="both"/>
      </w:pPr>
      <w:r>
        <w:t xml:space="preserve">-  No survival of the licence after termination, which strands the exit.</w:t>
      </w:r>
    </w:p>
    <w:p>
      <w:pPr>
        <w:spacing w:after="160"/>
        <w:jc w:val="both"/>
      </w:pPr>
      <w:r>
        <w:rPr>
          <w:b/>
        </w:rPr>
        <w:t xml:space="preserve">Tradeables. </w:t>
      </w:r>
      <w:r>
        <w:t xml:space="preserve">what may be conceded to hold this position, and what may not</w:t>
      </w:r>
    </w:p>
    <w:p>
      <w:pPr>
        <w:spacing w:after="160"/>
        <w:jc w:val="both"/>
      </w:pPr>
      <w:r>
        <w:t xml:space="preserve">-  Assignment versus perpetual licence is genuinely tradeable.</w:t>
      </w:r>
    </w:p>
    <w:p>
      <w:pPr>
        <w:spacing w:after="160"/>
        <w:jc w:val="both"/>
      </w:pPr>
      <w:r>
        <w:t xml:space="preserve">-  Survival past termination is not.</w:t>
      </w:r>
    </w:p>
    <w:p>
      <w:pPr>
        <w:spacing w:after="160"/>
        <w:jc w:val="both"/>
      </w:pPr>
      <w:r>
        <w:rPr>
          <w:b/>
        </w:rPr>
        <w:t xml:space="preserve">Model wording. </w:t>
      </w:r>
      <w:r>
        <w:t xml:space="preserve">what a draft is generated from</w:t>
      </w:r>
    </w:p>
    <w:p>
      <w:pPr>
        <w:spacing w:after="160"/>
        <w:jc w:val="both"/>
      </w:pP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after="160"/>
        <w:jc w:val="both"/>
      </w:pPr>
      <w:r>
        <w:rPr>
          <w:b/>
        </w:rPr>
        <w:t xml:space="preserve">Also called. </w:t>
      </w:r>
      <w:r>
        <w:t xml:space="preserve">Intellectual Property; IP; IPR; Ownership of Deliverables</w:t>
      </w:r>
    </w:p>
    <w:p>
      <w:pPr>
        <w:spacing w:before="280" w:after="120"/>
      </w:pPr>
      <w:r>
        <w:rPr>
          <w:b/>
          <w:caps/>
          <w:sz w:val="24"/>
        </w:rPr>
        <w:t xml:space="preserve">15. CONFIDENTIALITY</w:t>
      </w:r>
    </w:p>
    <w:p>
      <w:pPr>
        <w:spacing w:after="160"/>
        <w:jc w:val="both"/>
      </w:pPr>
      <w:r>
        <w:t xml:space="preserve">Clause reference 8.1 · category legal · risk weight 3/5 · change type Administrative</w:t>
      </w:r>
    </w:p>
    <w:p>
      <w:pPr>
        <w:spacing w:after="160"/>
        <w:jc w:val="both"/>
      </w:pPr>
      <w:r>
        <w:rPr>
          <w:b/>
        </w:rPr>
        <w:t xml:space="preserve">Standard. </w:t>
      </w:r>
      <w:r>
        <w:t xml:space="preserve">[5 years] Mutual, surviving five years after termination, with the usual carve-outs for public domain and legal compulsion.</w:t>
      </w:r>
    </w:p>
    <w:p>
      <w:pPr>
        <w:spacing w:after="160"/>
        <w:jc w:val="both"/>
      </w:pPr>
      <w:r>
        <w:rPr>
          <w:b/>
        </w:rPr>
        <w:t xml:space="preserve">Fallback. </w:t>
      </w:r>
      <w:r>
        <w:t xml:space="preserve">[3 years] Three years' survival.</w:t>
      </w:r>
    </w:p>
    <w:p>
      <w:pPr>
        <w:spacing w:after="160"/>
        <w:jc w:val="both"/>
      </w:pPr>
      <w:r>
        <w:rPr>
          <w:b/>
        </w:rPr>
        <w:t xml:space="preserve">Walk away. </w:t>
      </w:r>
      <w:r>
        <w:t xml:space="preserve">One-way confidentiality in the supplier's favour, or no survival after termination.</w:t>
      </w:r>
    </w:p>
    <w:p>
      <w:pPr>
        <w:spacing w:after="160"/>
        <w:jc w:val="both"/>
      </w:pPr>
      <w:r>
        <w:rPr>
          <w:b/>
        </w:rPr>
        <w:t xml:space="preserve">Band. </w:t>
      </w:r>
      <w:r>
        <w:t xml:space="preserve">Measured in years; lower is worse.</w:t>
      </w:r>
    </w:p>
    <w:p>
      <w:pPr>
        <w:spacing w:after="160"/>
        <w:jc w:val="both"/>
      </w:pPr>
      <w:r>
        <w:rPr>
          <w:b/>
        </w:rPr>
        <w:t xml:space="preserve">Why. </w:t>
      </w:r>
      <w:r>
        <w:t xml:space="preserve">Survival is the operative term. Confidentiality that ends with the contract protects nothing at the moment it matters most, which is after a relationship ends badly.</w:t>
      </w:r>
    </w:p>
    <w:p>
      <w:pPr>
        <w:spacing w:after="160"/>
        <w:jc w:val="both"/>
      </w:pPr>
      <w:r>
        <w:rPr>
          <w:b/>
        </w:rPr>
        <w:t xml:space="preserve">Who approves. </w:t>
      </w:r>
      <w:r>
        <w:t xml:space="preserve">Inside the fallback band, Legal may approve without escalation. Past the walk-away line the decision belongs to Head of Legal.</w:t>
      </w:r>
    </w:p>
    <w:p>
      <w:pPr>
        <w:spacing w:after="160"/>
        <w:jc w:val="both"/>
      </w:pPr>
      <w:r>
        <w:rPr>
          <w:b/>
        </w:rPr>
        <w:t xml:space="preserve">At standard. </w:t>
      </w:r>
      <w:r>
        <w:t xml:space="preserve">No action.</w:t>
      </w:r>
    </w:p>
    <w:p>
      <w:pPr>
        <w:spacing w:after="160"/>
        <w:jc w:val="both"/>
      </w:pPr>
      <w:r>
        <w:rPr>
          <w:b/>
        </w:rPr>
        <w:t xml:space="preserve">In fallback. </w:t>
      </w:r>
      <w:r>
        <w:t xml:space="preserve">Legal may approve 3 years for commercial terms only, provided security information is carved out and stays indefinite.</w:t>
      </w:r>
    </w:p>
    <w:p>
      <w:pPr>
        <w:spacing w:after="160"/>
        <w:jc w:val="both"/>
      </w:pPr>
      <w:r>
        <w:rPr>
          <w:b/>
        </w:rPr>
        <w:t xml:space="preserve">Past walk-away. </w:t>
      </w:r>
      <w:r>
        <w:t xml:space="preserve">Escalate. Under 3 years is shorter than the contract term itself on most FM agreements.</w:t>
      </w:r>
    </w:p>
    <w:p>
      <w:pPr>
        <w:spacing w:after="160"/>
        <w:jc w:val="both"/>
      </w:pPr>
      <w:r>
        <w:rPr>
          <w:b/>
        </w:rPr>
        <w:t xml:space="preserve">Red flags. </w:t>
      </w:r>
      <w:r>
        <w:t xml:space="preserve">wording that is wrong at any number</w:t>
      </w:r>
    </w:p>
    <w:p>
      <w:pPr>
        <w:spacing w:after="160"/>
        <w:jc w:val="both"/>
      </w:pPr>
      <w:r>
        <w:t xml:space="preserve">-  A survival period shorter than the information stays sensitive: site security and access data does not stop mattering after 3 years.</w:t>
      </w:r>
    </w:p>
    <w:p>
      <w:pPr>
        <w:spacing w:after="160"/>
        <w:jc w:val="both"/>
      </w:pPr>
      <w:r>
        <w:t xml:space="preserve">-  Confidentiality made mutual in wording but with carve-outs that only benefit the supplier.</w:t>
      </w:r>
    </w:p>
    <w:p>
      <w:pPr>
        <w:spacing w:after="160"/>
        <w:jc w:val="both"/>
      </w:pPr>
      <w:r>
        <w:t xml:space="preserve">-  Permission to name the client as a reference without consent.</w:t>
      </w:r>
    </w:p>
    <w:p>
      <w:pPr>
        <w:spacing w:after="160"/>
        <w:jc w:val="both"/>
      </w:pPr>
      <w:r>
        <w:rPr>
          <w:b/>
        </w:rPr>
        <w:t xml:space="preserve">Tradeables. </w:t>
      </w:r>
      <w:r>
        <w:t xml:space="preserve">what may be conceded to hold this position, and what may not</w:t>
      </w:r>
    </w:p>
    <w:p>
      <w:pPr>
        <w:spacing w:after="160"/>
        <w:jc w:val="both"/>
      </w:pPr>
      <w:r>
        <w:t xml:space="preserve">-  The duration is tradeable for ordinary commercial information.</w:t>
      </w:r>
    </w:p>
    <w:p>
      <w:pPr>
        <w:spacing w:after="160"/>
        <w:jc w:val="both"/>
      </w:pPr>
      <w:r>
        <w:t xml:space="preserve">-  Security, access control and personal data information should never be time-limited.</w:t>
      </w:r>
    </w:p>
    <w:p>
      <w:pPr>
        <w:spacing w:after="160"/>
        <w:jc w:val="both"/>
      </w:pPr>
      <w:r>
        <w:rPr>
          <w:b/>
        </w:rPr>
        <w:t xml:space="preserve">Model wording. </w:t>
      </w:r>
      <w:r>
        <w:t xml:space="preserve">what a draft is generated from</w:t>
      </w:r>
    </w:p>
    <w:p>
      <w:pPr>
        <w:spacing w:after="160"/>
        <w:jc w:val="both"/>
      </w:pP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after="160"/>
        <w:jc w:val="both"/>
      </w:pPr>
      <w:r>
        <w:rPr>
          <w:b/>
        </w:rPr>
        <w:t xml:space="preserve">Also called. </w:t>
      </w:r>
      <w:r>
        <w:t xml:space="preserve">Confidentiality; Confidential Information; Non-Disclosure</w:t>
      </w:r>
    </w:p>
    <w:p>
      <w:pPr>
        <w:spacing w:before="280" w:after="120"/>
      </w:pPr>
      <w:r>
        <w:rPr>
          <w:b/>
          <w:caps/>
          <w:sz w:val="24"/>
        </w:rPr>
        <w:t xml:space="preserve">16. CHANGE CONTROL</w:t>
      </w:r>
    </w:p>
    <w:p>
      <w:pPr>
        <w:spacing w:after="160"/>
        <w:jc w:val="both"/>
      </w:pPr>
      <w:r>
        <w:t xml:space="preserve">Clause reference 18.1 · category operational · risk weight 3/5 · change type Payment</w:t>
      </w:r>
    </w:p>
    <w:p>
      <w:pPr>
        <w:spacing w:after="160"/>
        <w:jc w:val="both"/>
      </w:pPr>
      <w:r>
        <w:rPr>
          <w:b/>
        </w:rPr>
        <w:t xml:space="preserve">Standard. </w:t>
      </w:r>
      <w:r>
        <w:t xml:space="preserve">All changes in writing, priced against the agreed rate card, signed by both parties before work begins.</w:t>
      </w:r>
    </w:p>
    <w:p>
      <w:pPr>
        <w:spacing w:after="160"/>
        <w:jc w:val="both"/>
      </w:pPr>
      <w:r>
        <w:rPr>
          <w:b/>
        </w:rPr>
        <w:t xml:space="preserve">Fallback. </w:t>
      </w:r>
      <w:r>
        <w:t xml:space="preserve">Changes under an agreed low-value threshold may be confirmed retrospectively within five working days.</w:t>
      </w:r>
    </w:p>
    <w:p>
      <w:pPr>
        <w:spacing w:after="160"/>
        <w:jc w:val="both"/>
      </w:pPr>
      <w:r>
        <w:rPr>
          <w:b/>
        </w:rPr>
        <w:t xml:space="preserve">Walk away. </w:t>
      </w:r>
      <w:r>
        <w:t xml:space="preserve">Unilateral change of charges, or indexation without a published index and a cap.</w:t>
      </w:r>
    </w:p>
    <w:p>
      <w:pPr>
        <w:spacing w:after="160"/>
        <w:jc w:val="both"/>
      </w:pPr>
      <w:r>
        <w:rPr>
          <w:b/>
        </w:rPr>
        <w:t xml:space="preserve">Why. </w:t>
      </w:r>
      <w:r>
        <w:t xml:space="preserve">Indexation is where multi-year FM contracts drift. 'RPI' with no cap on a five-year contract is an open-ended commitment, and it is invisible at signature because the first year looks the same either way.</w:t>
      </w:r>
    </w:p>
    <w:p>
      <w:pPr>
        <w:spacing w:after="160"/>
        <w:jc w:val="both"/>
      </w:pPr>
      <w:r>
        <w:rPr>
          <w:b/>
        </w:rPr>
        <w:t xml:space="preserve">Who approves. </w:t>
      </w:r>
      <w:r>
        <w:t xml:space="preserve">Inside the fallback band, Finance / Commercial Approver may approve without escalation. Past the walk-away line the decision belongs to Head of Finance.</w:t>
      </w:r>
    </w:p>
    <w:p>
      <w:pPr>
        <w:spacing w:after="160"/>
        <w:jc w:val="both"/>
      </w:pPr>
      <w:r>
        <w:rPr>
          <w:b/>
        </w:rPr>
        <w:t xml:space="preserve">At standard. </w:t>
      </w:r>
      <w:r>
        <w:t xml:space="preserve">No action.</w:t>
      </w:r>
    </w:p>
    <w:p>
      <w:pPr>
        <w:spacing w:after="160"/>
        <w:jc w:val="both"/>
      </w:pPr>
      <w:r>
        <w:rPr>
          <w:b/>
        </w:rPr>
        <w:t xml:space="preserve">In fallback. </w:t>
      </w:r>
      <w:r>
        <w:t xml:space="preserve">Finance may approve. Get the indexation basis named: 'market rates' is not a basis.</w:t>
      </w:r>
    </w:p>
    <w:p>
      <w:pPr>
        <w:spacing w:after="160"/>
        <w:jc w:val="both"/>
      </w:pPr>
      <w:r>
        <w:rPr>
          <w:b/>
        </w:rPr>
        <w:t xml:space="preserve">Past walk-away. </w:t>
      </w:r>
      <w:r>
        <w:t xml:space="preserve">Do not accept unilateral pricing. Escalate to Head of Finance.</w:t>
      </w:r>
    </w:p>
    <w:p>
      <w:pPr>
        <w:spacing w:after="160"/>
        <w:jc w:val="both"/>
      </w:pPr>
      <w:r>
        <w:rPr>
          <w:b/>
        </w:rPr>
        <w:t xml:space="preserve">Red flags. </w:t>
      </w:r>
      <w:r>
        <w:t xml:space="preserve">wording that is wrong at any number</w:t>
      </w:r>
    </w:p>
    <w:p>
      <w:pPr>
        <w:spacing w:after="160"/>
        <w:jc w:val="both"/>
      </w:pPr>
      <w:r>
        <w:t xml:space="preserve">-  Changes priced at 'prevailing rates' rather than the agreed rate card.</w:t>
      </w:r>
    </w:p>
    <w:p>
      <w:pPr>
        <w:spacing w:after="160"/>
        <w:jc w:val="both"/>
      </w:pPr>
      <w:r>
        <w:t xml:space="preserve">-  Deemed acceptance if the client does not respond within a short window.</w:t>
      </w:r>
    </w:p>
    <w:p>
      <w:pPr>
        <w:spacing w:after="160"/>
        <w:jc w:val="both"/>
      </w:pPr>
      <w:r>
        <w:t xml:space="preserve">-  Supplier able to vary the charges unilaterally for regulatory change.</w:t>
      </w:r>
    </w:p>
    <w:p>
      <w:pPr>
        <w:spacing w:after="160"/>
        <w:jc w:val="both"/>
      </w:pPr>
      <w:r>
        <w:rPr>
          <w:b/>
        </w:rPr>
        <w:t xml:space="preserve">Tradeables. </w:t>
      </w:r>
      <w:r>
        <w:t xml:space="preserve">what may be conceded to hold this position, and what may not</w:t>
      </w:r>
    </w:p>
    <w:p>
      <w:pPr>
        <w:spacing w:after="160"/>
        <w:jc w:val="both"/>
      </w:pPr>
      <w:r>
        <w:t xml:space="preserve">-  Turnaround times and approval thresholds are tradeable.</w:t>
      </w:r>
    </w:p>
    <w:p>
      <w:pPr>
        <w:spacing w:after="160"/>
        <w:jc w:val="both"/>
      </w:pPr>
      <w:r>
        <w:t xml:space="preserve">-  The rate card as the pricing basis is not.</w:t>
      </w:r>
    </w:p>
    <w:p>
      <w:pPr>
        <w:spacing w:after="160"/>
        <w:jc w:val="both"/>
      </w:pPr>
      <w:r>
        <w:rPr>
          <w:b/>
        </w:rPr>
        <w:t xml:space="preserve">Model wording. </w:t>
      </w:r>
      <w:r>
        <w:t xml:space="preserve">what a draft is generated from</w:t>
      </w:r>
    </w:p>
    <w:p>
      <w:pPr>
        <w:spacing w:after="160"/>
        <w:jc w:val="both"/>
      </w:pPr>
      <w:r>
        <w:t xml:space="preserve">No change to the Services or Charges is effective unless agreed in writing by both parties using the change control procedure in Schedule 5. Changes shall be priced against the Rate Card. No change is deemed accepted by silence.</w:t>
      </w:r>
    </w:p>
    <w:p>
      <w:pPr>
        <w:spacing w:after="160"/>
        <w:jc w:val="both"/>
      </w:pPr>
      <w:r>
        <w:rPr>
          <w:b/>
        </w:rPr>
        <w:t xml:space="preserve">Also called. </w:t>
      </w:r>
      <w:r>
        <w:t xml:space="preserve">Change Control; Variations; Change Procedure</w:t>
      </w:r>
    </w:p>
    <w:p>
      <w:pPr>
        <w:spacing w:before="280" w:after="120"/>
      </w:pPr>
      <w:r>
        <w:rPr>
          <w:b/>
          <w:caps/>
          <w:sz w:val="24"/>
        </w:rPr>
        <w:t xml:space="preserve">17. EXIT AND TRANSITION ASSISTANCE</w:t>
      </w:r>
    </w:p>
    <w:p>
      <w:pPr>
        <w:spacing w:after="160"/>
        <w:jc w:val="both"/>
      </w:pPr>
      <w:r>
        <w:t xml:space="preserve">Clause reference 9.3 · category term · risk weight 4/5 · change type Termination</w:t>
      </w:r>
    </w:p>
    <w:p>
      <w:pPr>
        <w:spacing w:after="160"/>
        <w:jc w:val="both"/>
      </w:pPr>
      <w:r>
        <w:rPr>
          <w:b/>
        </w:rPr>
        <w:t xml:space="preserve">Standard. </w:t>
      </w:r>
      <w:r>
        <w:t xml:space="preserve">[12 months] Twelve months' transition assistance at contract rates, with asset registers, maintenance history and data returned in a documented format.</w:t>
      </w:r>
    </w:p>
    <w:p>
      <w:pPr>
        <w:spacing w:after="160"/>
        <w:jc w:val="both"/>
      </w:pPr>
      <w:r>
        <w:rPr>
          <w:b/>
        </w:rPr>
        <w:t xml:space="preserve">Fallback. </w:t>
      </w:r>
      <w:r>
        <w:t xml:space="preserve">[6 months] Six months' assistance at contract rates.</w:t>
      </w:r>
    </w:p>
    <w:p>
      <w:pPr>
        <w:spacing w:after="160"/>
        <w:jc w:val="both"/>
      </w:pPr>
      <w:r>
        <w:rPr>
          <w:b/>
        </w:rPr>
        <w:t xml:space="preserve">Walk away. </w:t>
      </w:r>
      <w:r>
        <w:t xml:space="preserve">No obligation to return maintenance history or asset data, or transition assistance priced at the supplier's discretion.</w:t>
      </w:r>
    </w:p>
    <w:p>
      <w:pPr>
        <w:spacing w:after="160"/>
        <w:jc w:val="both"/>
      </w:pPr>
      <w:r>
        <w:rPr>
          <w:b/>
        </w:rPr>
        <w:t xml:space="preserve">Band. </w:t>
      </w:r>
      <w:r>
        <w:t xml:space="preserve">Measured in months; lower is worse.</w:t>
      </w:r>
    </w:p>
    <w:p>
      <w:pPr>
        <w:spacing w:after="160"/>
        <w:jc w:val="both"/>
      </w:pPr>
      <w:r>
        <w:rPr>
          <w:b/>
        </w:rPr>
        <w:t xml:space="preserve">Why. </w:t>
      </w:r>
      <w:r>
        <w:t xml:space="preserve">The data is the lock-in. A supplier holding the only maintenance history for an estate is very difficult to replace regardless of what the termination clause says, and the successor cannot price the work without it.</w:t>
      </w:r>
    </w:p>
    <w:p>
      <w:pPr>
        <w:spacing w:after="160"/>
        <w:jc w:val="both"/>
      </w:pPr>
      <w:r>
        <w:rPr>
          <w:b/>
        </w:rPr>
        <w:t xml:space="preserve">Who approves. </w:t>
      </w:r>
      <w:r>
        <w:t xml:space="preserve">Inside the fallback band, Contract Manager may approve without escalation. Past the walk-away line the decision belongs to Director of Contract Management.</w:t>
      </w:r>
    </w:p>
    <w:p>
      <w:pPr>
        <w:spacing w:after="160"/>
        <w:jc w:val="both"/>
      </w:pPr>
      <w:r>
        <w:rPr>
          <w:b/>
        </w:rPr>
        <w:t xml:space="preserve">At standard. </w:t>
      </w:r>
      <w:r>
        <w:t xml:space="preserve">No action.</w:t>
      </w:r>
    </w:p>
    <w:p>
      <w:pPr>
        <w:spacing w:after="160"/>
        <w:jc w:val="both"/>
      </w:pPr>
      <w:r>
        <w:rPr>
          <w:b/>
        </w:rPr>
        <w:t xml:space="preserve">In fallback. </w:t>
      </w:r>
      <w:r>
        <w:t xml:space="preserve">Contract Manager may approve six (6) months for a single-service contract. Not for TFM, where six months does not cover one full compliance cycle.</w:t>
      </w:r>
    </w:p>
    <w:p>
      <w:pPr>
        <w:spacing w:after="160"/>
        <w:jc w:val="both"/>
      </w:pPr>
      <w:r>
        <w:rPr>
          <w:b/>
        </w:rPr>
        <w:t xml:space="preserve">Past walk-away. </w:t>
      </w:r>
      <w:r>
        <w:t xml:space="preserve">Escalate to Director of Contract Management. Under six months there is no realistic handover on a multi-site estate, and no obligation to return asset data is a walk-away at any duration.</w:t>
      </w:r>
    </w:p>
    <w:p>
      <w:pPr>
        <w:spacing w:after="160"/>
        <w:jc w:val="both"/>
      </w:pPr>
      <w:r>
        <w:rPr>
          <w:b/>
        </w:rPr>
        <w:t xml:space="preserve">Red flags. </w:t>
      </w:r>
      <w:r>
        <w:t xml:space="preserve">wording that is wrong at any number</w:t>
      </w:r>
    </w:p>
    <w:p>
      <w:pPr>
        <w:spacing w:after="160"/>
        <w:jc w:val="both"/>
      </w:pPr>
      <w:r>
        <w:t xml:space="preserve">-  Exit assistance charged at rates set at the time of exit: leverage sits entirely with the outgoing supplier.</w:t>
      </w:r>
    </w:p>
    <w:p>
      <w:pPr>
        <w:spacing w:after="160"/>
        <w:jc w:val="both"/>
      </w:pPr>
      <w:r>
        <w:t xml:space="preserve">-  Assistance shorter than the notice period, so the service ends mid-handover.</w:t>
      </w:r>
    </w:p>
    <w:p>
      <w:pPr>
        <w:spacing w:after="160"/>
        <w:jc w:val="both"/>
      </w:pPr>
      <w:r>
        <w:t xml:space="preserve">-  No obligation to hand back asset data, maintenance history or access records.</w:t>
      </w:r>
    </w:p>
    <w:p>
      <w:pPr>
        <w:spacing w:after="160"/>
        <w:jc w:val="both"/>
      </w:pPr>
      <w:r>
        <w:rPr>
          <w:b/>
        </w:rPr>
        <w:t xml:space="preserve">Tradeables. </w:t>
      </w:r>
      <w:r>
        <w:t xml:space="preserve">what may be conceded to hold this position, and what may not</w:t>
      </w:r>
    </w:p>
    <w:p>
      <w:pPr>
        <w:spacing w:after="160"/>
        <w:jc w:val="both"/>
      </w:pPr>
      <w:r>
        <w:t xml:space="preserve">-  Duration is tradeable by contract size.</w:t>
      </w:r>
    </w:p>
    <w:p>
      <w:pPr>
        <w:spacing w:after="160"/>
        <w:jc w:val="both"/>
      </w:pPr>
      <w:r>
        <w:t xml:space="preserve">-  The obligation to hand back asset and maintenance data at no charge is not.</w:t>
      </w:r>
    </w:p>
    <w:p>
      <w:pPr>
        <w:spacing w:after="160"/>
        <w:jc w:val="both"/>
      </w:pPr>
      <w:r>
        <w:rPr>
          <w:b/>
        </w:rPr>
        <w:t xml:space="preserve">Model wording. </w:t>
      </w:r>
      <w:r>
        <w:t xml:space="preserve">what a draft is generated from</w:t>
      </w:r>
    </w:p>
    <w:p>
      <w:pPr>
        <w:spacing w:after="160"/>
        <w:jc w:val="both"/>
      </w:pP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after="160"/>
        <w:jc w:val="both"/>
      </w:pPr>
      <w:r>
        <w:rPr>
          <w:b/>
        </w:rPr>
        <w:t xml:space="preserve">Also called. </w:t>
      </w:r>
      <w:r>
        <w:t xml:space="preserve">Exit; Transition Assistance; Exit and Transition; Handover; Termination Assistance</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Clause Playbook</dc:title>
  <dc:creator>Default catalogue</dc:creator>
  <cp:lastModifiedBy>Default catalogue</cp:lastModifiedBy>
  <cp:revision>1</cp:revision>
  <dcterms:created xsi:type="dcterms:W3CDTF">2026-09-07T05:01:26Z</dcterms:created>
</cp:coreProperties>
</file>