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DESIGN SERVICES AGREEMENT</w:t>
      </w:r>
    </w:p>
    <w:p>
      <w:pPr>
        <w:jc w:val="center"/>
        <w:spacing w:after="360"/>
      </w:pPr>
      <w:r>
        <w:rPr>
          <w:sz w:val="20"/>
          <w:color w:val="555555"/>
        </w:rPr>
        <w:t xml:space="preserve">Template consultancy_design_global · jurisdiction global · 20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 Payment terms (days) [payment_terms_days]; Rate card reference [rate_card_reference]; Indexation basis [indexation_basis]; Liability cap (% of annual charges) [liability_cap_amount].</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Design services. </w:t>
      </w:r>
      <w:r>
        <w:t xml:space="preserve">The Supplier shall provide the design services described in the schedules, delivering each stage for the Client's approval before proceeding to the next.</w:t>
      </w:r>
    </w:p>
    <w:p>
      <w:pPr>
        <w:spacing w:after="160"/>
        <w:jc w:val="both"/>
      </w:pPr>
      <w:r>
        <w:rPr>
          <w:b/>
        </w:rPr>
        <w:t xml:space="preserve">2.2 Design liability. </w:t>
      </w:r>
      <w:r>
        <w:t xml:space="preserve">The Supplier is responsible for the design it produces, and that responsibility survives completion of the works and attaches to the design as built. Approval of a stage by the Client does not relieve the Supplier of it.</w:t>
      </w:r>
    </w:p>
    <w:p>
      <w:pPr>
        <w:spacing w:after="160"/>
        <w:jc w:val="both"/>
      </w:pPr>
      <w:r>
        <w:rPr>
          <w:b/>
        </w:rPr>
        <w:t xml:space="preserve">2.3 Collateral warranties. </w:t>
      </w:r>
      <w:r>
        <w:t xml:space="preserve">The Supplier shall, on request, provide collateral warranties in the agreed form to the Client's funders, to any incoming owner or tenant, and to the contractor, in each case on terms no more onerous than this Agreement.</w:t>
      </w:r>
    </w:p>
    <w:p>
      <w:pPr>
        <w:spacing w:after="160"/>
        <w:jc w:val="both"/>
      </w:pPr>
      <w:r>
        <w:rPr>
          <w:b/>
        </w:rPr>
        <w:t xml:space="preserve">2.4 Fitness for purpose. </w:t>
      </w:r>
      <w:r>
        <w:t xml:space="preserve">Where the schedules state a performance requirement for the design, the Supplier shall meet it. Elsewhere the standard is reasonable skill and care.</w:t>
      </w:r>
    </w:p>
    <w:p>
      <w:pPr>
        <w:spacing w:before="280" w:after="120"/>
      </w:pPr>
      <w:r>
        <w:rPr>
          <w:b/>
          <w:caps/>
          <w:sz w:val="24"/>
        </w:rPr>
        <w:t xml:space="preserve">3. SUPPLIER OBLIGATIONS</w:t>
      </w:r>
    </w:p>
    <w:p>
      <w:pPr>
        <w:spacing w:after="160"/>
        <w:jc w:val="both"/>
      </w:pPr>
      <w:r>
        <w:rPr>
          <w:b/>
        </w:rPr>
        <w:t xml:space="preserve">3.1 Design licence. </w:t>
      </w:r>
      <w:r>
        <w:t xml:space="preserve">Copyright in the design remains with the Supplier, which grants the Client an irrevocable licence to use the design to construct, complete, maintain, extend and repair the works. The licence survives termination for any reason.</w:t>
      </w:r>
    </w:p>
    <w:p>
      <w:pPr>
        <w:spacing w:after="160"/>
        <w:jc w:val="both"/>
      </w:pPr>
      <w:r>
        <w:rPr>
          <w:b/>
        </w:rPr>
        <w:t xml:space="preserve">3.2 Key personnel. </w:t>
      </w:r>
      <w:r>
        <w:t xml:space="preserve">The Supplier shall not substitute named key personnel without the Client's prior written consent.</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11. INSURANCE</w:t>
      </w:r>
    </w:p>
    <w:p>
      <w:pPr>
        <w:spacing w:after="160"/>
        <w:jc w:val="both"/>
      </w:pPr>
      <w:r>
        <w:rPr>
          <w:b/>
        </w:rPr>
        <w:t xml:space="preserve">11.1 Insurance. </w:t>
      </w:r>
      <w:r>
        <w:t xml:space="preserve">The Supplier shall maintain, with a reputable insurer, public liability insurance of not less than </w:t>
      </w:r>
      <w:r>
        <w:rPr>
          <w:highlight w:val="yellow"/>
        </w:rPr>
        <w:t xml:space="preserve">[currency_code]</w:t>
      </w:r>
      <w:r>
        <w:t xml:space="preserve"> 5,000,000 per occurrence, employer's liability insurance of not less than GBP 5,000,000 (the statutory minimum in Great Britain), and professional indemnity insurance of not less than </w:t>
      </w:r>
      <w:r>
        <w:rPr>
          <w:highlight w:val="yellow"/>
        </w:rPr>
        <w:t xml:space="preserve">[currency_code]</w:t>
      </w:r>
      <w:r>
        <w:t xml:space="preserve"> 2,000,000, and shall provide certificates of currency on each policy anniversary. Maintaining the cover required by this clause does not limit the Supplier's liability under clause 7.2.</w:t>
      </w:r>
    </w:p>
    <w:p>
      <w:pPr>
        <w:spacing w:before="280" w:after="120"/>
      </w:pPr>
      <w:r>
        <w:rPr>
          <w:b/>
          <w:caps/>
          <w:sz w:val="24"/>
        </w:rPr>
        <w:t xml:space="preserve">15. FORCE MAJEURE</w:t>
      </w:r>
    </w:p>
    <w:p>
      <w:pPr>
        <w:spacing w:after="160"/>
        <w:jc w:val="both"/>
      </w:pPr>
      <w:r>
        <w:rPr>
          <w:b/>
        </w:rPr>
        <w:t xml:space="preserve">15.1 Force majeure. </w:t>
      </w:r>
      <w:r>
        <w:t xml:space="preserve">Neither party is liable for failure to perform caused by an event beyond its reasonable control, provided it notifies the other promptly and mitigates. Supplier labour disputes are excluded. If the event continues for more than sixty (60) days either party may terminate this Agreement on written notice with no liability, and clause 9.3 applies to the exit.</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17. INTELLECTUAL PROPERTY</w:t>
      </w:r>
    </w:p>
    <w:p>
      <w:pPr>
        <w:spacing w:after="160"/>
        <w:jc w:val="both"/>
      </w:pPr>
      <w:r>
        <w:rPr>
          <w:b/>
        </w:rPr>
        <w:t xml:space="preserve">17.1 Intellectual property. </w:t>
      </w:r>
      <w:r>
        <w:t xml:space="preserve">All intellectual property rights in the Deliverables created for the Client under this Agreement vest in the Client on creation. Each party retains its pre-existing background intellectual property and grants the other a licence to use it to the extent necessary to perform or receive the Services.</w:t>
      </w:r>
    </w:p>
    <w:p>
      <w:pPr>
        <w:spacing w:before="280" w:after="120"/>
      </w:pPr>
      <w:r>
        <w:rPr>
          <w:b/>
          <w:caps/>
          <w:sz w:val="24"/>
        </w:rPr>
        <w:t xml:space="preserve">18. CHANGE CONTROL</w:t>
      </w:r>
    </w:p>
    <w:p>
      <w:pPr>
        <w:spacing w:after="160"/>
        <w:jc w:val="both"/>
      </w:pPr>
      <w:r>
        <w:rPr>
          <w:b/>
        </w:rPr>
        <w:t xml:space="preserve">18.1 Change control. </w:t>
      </w:r>
      <w:r>
        <w:t xml:space="preserve">No change to the Services or Charges is effective unless agreed in writing by both parties using the change control procedure in Schedule 5. Changes shall be priced against the Rate Card. No change is deemed accepted by silence.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Design Services Agreement</dc:title>
  <dc:creator>Default catalogue</dc:creator>
  <cp:lastModifiedBy>Default catalogue</cp:lastModifiedBy>
  <cp:revision>template</cp:revision>
  <dcterms:created xsi:type="dcterms:W3CDTF">2026-09-07T05:01:26Z</dcterms:created>
</cp:coreProperties>
</file>