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DATA PROCESSING AGREEMENT (REST OF WORLD)</w:t>
      </w:r>
    </w:p>
    <w:p>
      <w:pPr>
        <w:jc w:val="center"/>
        <w:spacing w:after="360"/>
      </w:pPr>
      <w:r>
        <w:rPr>
          <w:sz w:val="20"/>
          <w:color w:val="555555"/>
        </w:rPr>
        <w:t xml:space="preserve">Template dpa_global · jurisdiction global · 9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w:t>
      </w:r>
    </w:p>
    <w:p>
      <w:pPr>
        <w:spacing w:after="160"/>
        <w:jc w:val="both"/>
      </w:pPr>
      <w:r>
        <w:rPr>
          <w:b/>
        </w:rPr>
        <w:t xml:space="preserve">Jurisdiction split. </w:t>
      </w:r>
      <w:r>
        <w:t xml:space="preserve">Closes a gap rather than adding an option: the UK/EU template names article 28 of the UK and EU GDPR, and a legal entity outside both had no DPA template at all. This carries the same processor obligations drafted to the contract rather than to a named statute, so it is a floor to be raised by local advice, not a substitute for it.</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Roles. </w:t>
      </w:r>
      <w:r>
        <w:rPr>
          <w:highlight w:val="yellow"/>
        </w:rPr>
        <w:t xml:space="preserve">[legal_entity_name]</w:t>
      </w:r>
      <w:r>
        <w:t xml:space="preserve"> is the controller and </w:t>
      </w:r>
      <w:r>
        <w:rPr>
          <w:highlight w:val="yellow"/>
        </w:rPr>
        <w:t xml:space="preserve">[supplier_name]</w:t>
      </w:r>
      <w:r>
        <w:t xml:space="preserve"> is the processor in respect of the personal data processed under the principal agreement. Neither party may vary that allocation unilaterally.</w:t>
      </w:r>
    </w:p>
    <w:p>
      <w:pPr>
        <w:spacing w:after="160"/>
        <w:jc w:val="both"/>
      </w:pPr>
      <w:r>
        <w:rPr>
          <w:b/>
        </w:rPr>
        <w:t xml:space="preserve">2.2 Scope of processing. </w:t>
      </w:r>
      <w:r>
        <w:t xml:space="preserve">The subject matter, duration, nature, purpose, categories of data subject and types of personal data are set out in Annex 1, which the parties shall keep current.</w:t>
      </w:r>
    </w:p>
    <w:p>
      <w:pPr>
        <w:spacing w:after="160"/>
        <w:jc w:val="both"/>
      </w:pPr>
      <w:r>
        <w:rPr>
          <w:b/>
        </w:rPr>
        <w:t xml:space="preserve">2.3 Applicable law. </w:t>
      </w:r>
      <w:r>
        <w:t xml:space="preserve">This Agreement is drafted to the contract rather than to a named data protection statute, because the parties are not established in the United Kingdom or the European Union. It is a floor. Where the law of </w:t>
      </w:r>
      <w:r>
        <w:rPr>
          <w:highlight w:val="yellow"/>
        </w:rPr>
        <w:t xml:space="preserve">[jurisdiction]</w:t>
      </w:r>
      <w:r>
        <w:t xml:space="preserve"> imposes requirements beyond it, those requirements prevail, and the parties shall take local advice rather than relying on this document alone.</w:t>
      </w:r>
    </w:p>
    <w:p>
      <w:pPr>
        <w:spacing w:before="280" w:after="120"/>
      </w:pPr>
      <w:r>
        <w:rPr>
          <w:b/>
          <w:caps/>
          <w:sz w:val="24"/>
        </w:rPr>
        <w:t xml:space="preserve">3. SUPPLIER OBLIGATIONS</w:t>
      </w:r>
    </w:p>
    <w:p>
      <w:pPr>
        <w:spacing w:after="160"/>
        <w:jc w:val="both"/>
      </w:pPr>
      <w:r>
        <w:rPr>
          <w:b/>
        </w:rPr>
        <w:t xml:space="preserve">3.1 Instructions. </w:t>
      </w:r>
      <w:r>
        <w:t xml:space="preserve">The Supplier shall process personal data only on the Client's documented instructions, and shall notify the Client if it considers an instruction infringes applicable data protection law.</w:t>
      </w:r>
    </w:p>
    <w:p>
      <w:pPr>
        <w:spacing w:after="160"/>
        <w:jc w:val="both"/>
      </w:pPr>
      <w:r>
        <w:rPr>
          <w:b/>
        </w:rPr>
        <w:t xml:space="preserve">3.2 Transfers. </w:t>
      </w:r>
      <w:r>
        <w:t xml:space="preserve">The Supplier shall not transfer personal data to another country without the Client's prior written consent and without a lawful transfer mechanism in place for that country.</w:t>
      </w:r>
    </w:p>
    <w:p>
      <w:pPr>
        <w:spacing w:after="160"/>
        <w:jc w:val="both"/>
      </w:pPr>
      <w:r>
        <w:rPr>
          <w:b/>
        </w:rPr>
        <w:t xml:space="preserve">3.3 Assistance. </w:t>
      </w:r>
      <w:r>
        <w:t xml:space="preserve">The Supplier shall assist the Client with data subject requests, impact assessments and regulator engagement, within timescales that allow the Client to meet its own statutory deadlines.</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12. DATA PROTECTION</w:t>
      </w:r>
    </w:p>
    <w:p>
      <w:pPr>
        <w:spacing w:after="160"/>
        <w:jc w:val="both"/>
      </w:pPr>
      <w:r>
        <w:rPr>
          <w:b/>
        </w:rPr>
        <w:t xml:space="preserve">12.1 Data protection. </w:t>
      </w:r>
      <w:r>
        <w:t xml:space="preserve">Where the Supplier processes personal data on the Client's behalf it does so as processor. The Supplier shall notify the Client without undue delay and in any event within twenty-four (24) hours of becoming aware of any personal data breach, and shall not appoint a sub-processor without the Client's prior written consent. The indemnity in clause 7.4 applies to any breach of this clause.</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Data Processing Agreement (rest of world)</dc:title>
  <dc:creator>Default catalogue</dc:creator>
  <cp:lastModifiedBy>Default catalogue</cp:lastModifiedBy>
  <cp:revision>template</cp:revision>
  <dcterms:created xsi:type="dcterms:W3CDTF">2026-09-07T05:01:26Z</dcterms:created>
</cp:coreProperties>
</file>