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DATA PROCESSING AGREEMENT (UK/EU)</w:t>
      </w:r>
    </w:p>
    <w:p>
      <w:pPr>
        <w:jc w:val="center"/>
        <w:spacing w:after="360"/>
      </w:pPr>
      <w:r>
        <w:rPr>
          <w:sz w:val="20"/>
          <w:color w:val="555555"/>
        </w:rPr>
        <w:t xml:space="preserve">Template dpa_uk_eu · jurisdiction GB,EU · 9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after="160"/>
        <w:jc w:val="both"/>
      </w:pPr>
      <w:r>
        <w:rPr>
          <w:b/>
        </w:rPr>
        <w:t xml:space="preserve">Jurisdiction split. </w:t>
      </w:r>
      <w:r>
        <w:t xml:space="preserve">UK GDPR and EU GDPR require specific article 28 terms and, for transfers, the relevant standard contractual clauses. The required wording is set by law rather than by preference, so a global template would be non-compliant in both.</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Roles. </w:t>
      </w:r>
      <w:r>
        <w:t xml:space="preserve">The Client is controller and the Supplier is processor in respect of the personal data processed under the principal agreement. Neither party may vary that allocation unilaterally.</w:t>
      </w:r>
    </w:p>
    <w:p>
      <w:pPr>
        <w:spacing w:after="160"/>
        <w:jc w:val="both"/>
      </w:pPr>
      <w:r>
        <w:rPr>
          <w:b/>
        </w:rPr>
        <w:t xml:space="preserve">2.2 Scope of processing. </w:t>
      </w:r>
      <w:r>
        <w:t xml:space="preserve">The subject matter, duration, nature, purpose, categories of data subject and types of personal data are set out in Annex 1, which the parties shall keep current.</w:t>
      </w:r>
    </w:p>
    <w:p>
      <w:pPr>
        <w:spacing w:before="280" w:after="120"/>
      </w:pPr>
      <w:r>
        <w:rPr>
          <w:b/>
          <w:caps/>
          <w:sz w:val="24"/>
        </w:rPr>
        <w:t xml:space="preserve">3. SUPPLIER OBLIGATIONS</w:t>
      </w:r>
    </w:p>
    <w:p>
      <w:pPr>
        <w:spacing w:after="160"/>
        <w:jc w:val="both"/>
      </w:pPr>
      <w:r>
        <w:rPr>
          <w:b/>
        </w:rPr>
        <w:t xml:space="preserve">3.1 Instructions. </w:t>
      </w:r>
      <w:r>
        <w:t xml:space="preserve">The Supplier shall process personal data only on the Client's documented instructions, and shall notify the Client if it considers an instruction infringes applicable data protection law.</w:t>
      </w:r>
    </w:p>
    <w:p>
      <w:pPr>
        <w:spacing w:after="160"/>
        <w:jc w:val="both"/>
      </w:pPr>
      <w:r>
        <w:rPr>
          <w:b/>
        </w:rPr>
        <w:t xml:space="preserve">3.2 Assistance. </w:t>
      </w:r>
      <w:r>
        <w:t xml:space="preserve">The Supplier shall assist the Client with data subject requests, impact assessments and regulator engagement, within timescales that allow the Client to meet its own statutory deadlines.</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Data Processing Agreement (UK/EU)</dc:title>
  <dc:creator>Default catalogue</dc:creator>
  <cp:lastModifiedBy>Default catalogue</cp:lastModifiedBy>
  <cp:revision>template</cp:revision>
  <dcterms:created xsi:type="dcterms:W3CDTF">2026-09-07T05:01:26Z</dcterms:created>
</cp:coreProperties>
</file>