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EQUIPMENT SUPPLY AGREEMENT (SUPPLY ONLY)</w:t>
      </w:r>
    </w:p>
    <w:p>
      <w:pPr>
        <w:jc w:val="center"/>
        <w:spacing w:after="360"/>
      </w:pPr>
      <w:r>
        <w:rPr>
          <w:sz w:val="20"/>
          <w:color w:val="555555"/>
        </w:rPr>
        <w:t xml:space="preserve">Template equipment_supply_only_global · jurisdiction global · 20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Payment terms (days) [payment_terms_days]; Rate card reference [rate_card_reference]; Indexation basis [indexation_basis]; Liability cap (% of annual charges) [liability_cap_amount].</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Supply only. </w:t>
      </w:r>
      <w:r>
        <w:t xml:space="preserve">The Supplier shall supply and deliver the equipment described in the schedules to </w:t>
      </w:r>
      <w:r>
        <w:rPr>
          <w:highlight w:val="yellow"/>
        </w:rPr>
        <w:t xml:space="preserve">[facility_names]</w:t>
      </w:r>
      <w:r>
        <w:t xml:space="preserve">. Installation and commissioning are carried out by others and are not the Supplier's responsibility.</w:t>
      </w:r>
    </w:p>
    <w:p>
      <w:pPr>
        <w:spacing w:after="160"/>
        <w:jc w:val="both"/>
      </w:pPr>
      <w:r>
        <w:rPr>
          <w:b/>
        </w:rPr>
        <w:t xml:space="preserve">2.2 Title and risk. </w:t>
      </w:r>
      <w:r>
        <w:t xml:space="preserve">Title passes to the Client on payment. Risk passes on delivery to the agreed point, and the Supplier shall give the Client reasonable notice of delivery.</w:t>
      </w:r>
    </w:p>
    <w:p>
      <w:pPr>
        <w:spacing w:after="160"/>
        <w:jc w:val="both"/>
      </w:pPr>
      <w:r>
        <w:rPr>
          <w:b/>
        </w:rPr>
        <w:t xml:space="preserve">2.3 Warranty boundary. </w:t>
      </w:r>
      <w:r>
        <w:t xml:space="preserve">The Supplier warrants the equipment against defects in materials and workmanship for twenty-four (24) months from delivery. That warranty does not extend to any defect caused by installation, commissioning or use, and the Supplier shall not be required to establish the cause of a defect before attending to inspect it.</w:t>
      </w:r>
    </w:p>
    <w:p>
      <w:pPr>
        <w:spacing w:after="160"/>
        <w:jc w:val="both"/>
      </w:pPr>
      <w:r>
        <w:rPr>
          <w:b/>
        </w:rPr>
        <w:t xml:space="preserve">2.4 Installation information. </w:t>
      </w:r>
      <w:r>
        <w:t xml:space="preserve">The Supplier shall provide the installation and commissioning requirements before delivery, so that the installer can be held to them.</w:t>
      </w:r>
    </w:p>
    <w:p>
      <w:pPr>
        <w:spacing w:before="280" w:after="120"/>
      </w:pPr>
      <w:r>
        <w:rPr>
          <w:b/>
          <w:caps/>
          <w:sz w:val="24"/>
        </w:rPr>
        <w:t xml:space="preserve">3. SUPPLIER OBLIGATIONS</w:t>
      </w:r>
    </w:p>
    <w:p>
      <w:pPr>
        <w:spacing w:after="160"/>
        <w:jc w:val="both"/>
      </w:pPr>
      <w:r>
        <w:rPr>
          <w:b/>
        </w:rPr>
        <w:t xml:space="preserve">3.1 Documentation. </w:t>
      </w:r>
      <w:r>
        <w:t xml:space="preserve">The Supplier shall provide operation and maintenance manuals, technical data and any declaration of conformity with the equipment.</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17. INTELLECTUAL PROPERTY</w:t>
      </w:r>
    </w:p>
    <w:p>
      <w:pPr>
        <w:spacing w:after="160"/>
        <w:jc w:val="both"/>
      </w:pPr>
      <w:r>
        <w:rPr>
          <w:b/>
        </w:rPr>
        <w:t xml:space="preserve">17.1 Intellectual property. </w:t>
      </w:r>
      <w:r>
        <w:t xml:space="preserve">All intellectual property rights in the Deliverables created for the Client under this Agreement vest in the Client on creation. Each party retains its pre-existing background intellectual property and grants the other a licence to use it to the extent necessary to perform or receive the Services.</w:t>
      </w:r>
    </w:p>
    <w:p>
      <w:pPr>
        <w:spacing w:before="280" w:after="120"/>
      </w:pPr>
      <w:r>
        <w:rPr>
          <w:b/>
          <w:caps/>
          <w:sz w:val="24"/>
        </w:rPr>
        <w:t xml:space="preserve">18. CHANGE CONTROL</w:t>
      </w:r>
    </w:p>
    <w:p>
      <w:pPr>
        <w:spacing w:after="160"/>
        <w:jc w:val="both"/>
      </w:pPr>
      <w:r>
        <w:rPr>
          <w:b/>
        </w:rPr>
        <w:t xml:space="preserve">18.1 Change control. </w:t>
      </w:r>
      <w:r>
        <w:t xml:space="preserve">No change to the Services or Charges is effective unless agreed in writing by both parties using the change control procedure in Schedule 5. Changes shall be priced against the Rate Card. No change is deemed accepted by silence.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Equipment Supply Agreement (supply only)</dc:title>
  <dc:creator>Default catalogue</dc:creator>
  <cp:lastModifiedBy>Default catalogue</cp:lastModifiedBy>
  <cp:revision>template</cp:revision>
  <dcterms:created xsi:type="dcterms:W3CDTF">2026-09-07T05:01:26Z</dcterms:created>
</cp:coreProperties>
</file>