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SINGLE-SUPPLIER FRAMEWORK AGREEMENT</w:t>
      </w:r>
    </w:p>
    <w:p>
      <w:pPr>
        <w:jc w:val="center"/>
        <w:spacing w:after="360"/>
      </w:pPr>
      <w:r>
        <w:rPr>
          <w:sz w:val="20"/>
          <w:color w:val="555555"/>
        </w:rPr>
        <w:t xml:space="preserve">Template framework_single_global · jurisdiction global · 20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Single-supplier framework. </w:t>
      </w:r>
      <w:r>
        <w:t xml:space="preserve">This Agreement establishes a framework with one supplier. The Client may call off services under it and is not obliged to. There is no exclusivity and no committed volume.</w:t>
      </w:r>
    </w:p>
    <w:p>
      <w:pPr>
        <w:spacing w:after="160"/>
        <w:jc w:val="both"/>
      </w:pPr>
      <w:r>
        <w:rPr>
          <w:b/>
        </w:rPr>
        <w:t xml:space="preserve">2.2 Direct award. </w:t>
      </w:r>
      <w:r>
        <w:t xml:space="preserve">Call-offs are awarded directly. Because there is no competition at call-off, the protections in clauses 2.3 and 2.4 stand in its place.</w:t>
      </w:r>
    </w:p>
    <w:p>
      <w:pPr>
        <w:spacing w:after="160"/>
        <w:jc w:val="both"/>
      </w:pPr>
      <w:r>
        <w:rPr>
          <w:b/>
        </w:rPr>
        <w:t xml:space="preserve">2.3 Benchmarking. </w:t>
      </w:r>
      <w:r>
        <w:t xml:space="preserve">The Client may benchmark the Rate Card against the market once in each twelve-month period. Where the benchmark shows the rates are not competitive, the Supplier shall meet the benchmark or the Client may go to market for the affected services without penalty.</w:t>
      </w:r>
    </w:p>
    <w:p>
      <w:pPr>
        <w:spacing w:after="160"/>
        <w:jc w:val="both"/>
      </w:pPr>
      <w:r>
        <w:rPr>
          <w:b/>
        </w:rPr>
        <w:t xml:space="preserve">2.4 Open book. </w:t>
      </w:r>
      <w:r>
        <w:t xml:space="preserve">The Supplier shall provide the cost build-up behind the Rate Card on request, and shall not treat it as confidential to itself.</w:t>
      </w:r>
    </w:p>
    <w:p>
      <w:pPr>
        <w:spacing w:before="280" w:after="120"/>
      </w:pPr>
      <w:r>
        <w:rPr>
          <w:b/>
          <w:caps/>
          <w:sz w:val="24"/>
        </w:rPr>
        <w:t xml:space="preserve">3. SUPPLIER OBLIGATIONS</w:t>
      </w:r>
    </w:p>
    <w:p>
      <w:pPr>
        <w:spacing w:after="160"/>
        <w:jc w:val="both"/>
      </w:pPr>
      <w:r>
        <w:rPr>
          <w:b/>
        </w:rPr>
        <w:t xml:space="preserve">3.1 Rate card. </w:t>
      </w:r>
      <w:r>
        <w:t xml:space="preserve">The Supplier shall hold the Rate Card (</w:t>
      </w:r>
      <w:r>
        <w:rPr>
          <w:highlight w:val="yellow"/>
        </w:rPr>
        <w:t xml:space="preserve">[rate_card_reference]</w:t>
      </w:r>
      <w:r>
        <w:t xml:space="preserve">) for the term, subject only to indexation on the basis of </w:t>
      </w:r>
      <w:r>
        <w:rPr>
          <w:highlight w:val="yellow"/>
        </w:rPr>
        <w:t xml:space="preserve">[indexation_basis]</w:t>
      </w:r>
      <w:r>
        <w:t xml:space="preserve">.</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10. SUBCONTRACTING AND ASSIGNMENT</w:t>
      </w:r>
    </w:p>
    <w:p>
      <w:pPr>
        <w:spacing w:after="160"/>
        <w:jc w:val="both"/>
      </w:pPr>
      <w:r>
        <w:rPr>
          <w:b/>
        </w:rPr>
        <w:t xml:space="preserve">10.2 Subcontracting. </w:t>
      </w:r>
      <w:r>
        <w:t xml:space="preserve">The Supplier shall not subcontract any part of the Services without the Client's prior written consent, such consent not to be unreasonably withheld. The Supplier remains fully responsible for the acts and omissions of any subcontractor as if they were its own, including for the purposes of clauses 11.1 and 13.1.</w:t>
      </w:r>
    </w:p>
    <w:p>
      <w:pPr>
        <w:spacing w:before="280" w:after="120"/>
      </w:pPr>
      <w:r>
        <w:rPr>
          <w:b/>
          <w:caps/>
          <w:sz w:val="24"/>
        </w:rPr>
        <w:t xml:space="preserve">11. INSURANCE</w:t>
      </w:r>
    </w:p>
    <w:p>
      <w:pPr>
        <w:spacing w:after="160"/>
        <w:jc w:val="both"/>
      </w:pPr>
      <w:r>
        <w:rPr>
          <w:b/>
        </w:rPr>
        <w:t xml:space="preserve">11.1 Insurance. </w:t>
      </w:r>
      <w:r>
        <w:t xml:space="preserve">The Supplier shall maintain, with a reputable insurer, public liability insurance of not less than </w:t>
      </w:r>
      <w:r>
        <w:rPr>
          <w:highlight w:val="yellow"/>
        </w:rPr>
        <w:t xml:space="preserve">[currency_code]</w:t>
      </w:r>
      <w:r>
        <w:t xml:space="preserve"> 5,000,000 per occurrence, employer's liability insurance of not less than GBP 5,000,000 (the statutory minimum in Great Britain), and professional indemnity insurance of not less than </w:t>
      </w:r>
      <w:r>
        <w:rPr>
          <w:highlight w:val="yellow"/>
        </w:rPr>
        <w:t xml:space="preserve">[currency_code]</w:t>
      </w:r>
      <w:r>
        <w:t xml:space="preserve"> 2,000,000, and shall provide certificates of currency on each policy anniversary. Maintaining the cover required by this clause does not limit the Supplier's liability under clause 7.2.</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13. HEALTH, SAFETY AND STATUTORY COMPLIANCE</w:t>
      </w:r>
    </w:p>
    <w:p>
      <w:pPr>
        <w:spacing w:after="160"/>
        <w:jc w:val="both"/>
      </w:pPr>
      <w:r>
        <w:rPr>
          <w:b/>
        </w:rPr>
        <w:t xml:space="preserve">13.1 Health, safety and statutory compliance. </w:t>
      </w:r>
      <w:r>
        <w:t xml:space="preserve">The Supplier shall comply with all applicable health and safety legislation and approved codes of practice, shall maintain current risk assessments and method statements for all Services, and shall retain compliance records for a period of not less than six (6) years and produce them to the Client on request.</w:t>
      </w:r>
    </w:p>
    <w:p>
      <w:pPr>
        <w:spacing w:before="280" w:after="120"/>
      </w:pPr>
      <w:r>
        <w:rPr>
          <w:b/>
          <w:caps/>
          <w:sz w:val="24"/>
        </w:rPr>
        <w:t xml:space="preserve">15. FORCE MAJEURE</w:t>
      </w:r>
    </w:p>
    <w:p>
      <w:pPr>
        <w:spacing w:after="160"/>
        <w:jc w:val="both"/>
      </w:pPr>
      <w:r>
        <w:rPr>
          <w:b/>
        </w:rPr>
        <w:t xml:space="preserve">15.1 Force majeure. </w:t>
      </w:r>
      <w:r>
        <w:t xml:space="preserve">Neither party is liable for failure to perform caused by an event beyond its reasonable control, provided it notifies the other promptly and mitigates. Supplier labour disputes are excluded. If the event continues for more than sixty (60) days either party may terminate this Agreement on written notice with no liability, and clause 9.3 applies to the exit.</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17. INTELLECTUAL PROPERTY</w:t>
      </w:r>
    </w:p>
    <w:p>
      <w:pPr>
        <w:spacing w:after="160"/>
        <w:jc w:val="both"/>
      </w:pPr>
      <w:r>
        <w:rPr>
          <w:b/>
        </w:rPr>
        <w:t xml:space="preserve">17.1 Intellectual property. </w:t>
      </w:r>
      <w:r>
        <w:t xml:space="preserve">All intellectual property rights in the Deliverables created for the Client under this Agreement vest in the Client on creation. Each party retains its pre-existing background intellectual property and grants the other a licence to use it to the extent necessary to perform or receive the Services.</w:t>
      </w:r>
    </w:p>
    <w:p>
      <w:pPr>
        <w:spacing w:before="280" w:after="120"/>
      </w:pPr>
      <w:r>
        <w:rPr>
          <w:b/>
          <w:caps/>
          <w:sz w:val="24"/>
        </w:rPr>
        <w:t xml:space="preserve">18. CHANGE CONTROL</w:t>
      </w:r>
    </w:p>
    <w:p>
      <w:pPr>
        <w:spacing w:after="160"/>
        <w:jc w:val="both"/>
      </w:pPr>
      <w:r>
        <w:rPr>
          <w:b/>
        </w:rPr>
        <w:t xml:space="preserve">18.1 Change control. </w:t>
      </w:r>
      <w:r>
        <w:t xml:space="preserve">No change to the Services or Charges is effective unless agreed in writing by both parties using the change control procedure in Schedule 5. Changes shall be priced against the Rate Card. No change is deemed accepted by silence.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Single-Supplier Framework Agreement</dc:title>
  <dc:creator>Default catalogue</dc:creator>
  <cp:lastModifiedBy>Default catalogue</cp:lastModifiedBy>
  <cp:revision>template</cp:revision>
  <dcterms:created xsi:type="dcterms:W3CDTF">2026-09-07T05:01:26Z</dcterms:created>
</cp:coreProperties>
</file>