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FRAMEWORK AGREEMENT (UK PUBLIC PROCUREMENT)</w:t>
      </w:r>
    </w:p>
    <w:p>
      <w:pPr>
        <w:jc w:val="center"/>
        <w:spacing w:after="360"/>
      </w:pPr>
      <w:r>
        <w:rPr>
          <w:sz w:val="20"/>
          <w:color w:val="555555"/>
        </w:rPr>
        <w:t xml:space="preserve">Template framework_uk · jurisdiction GB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after="160"/>
        <w:jc w:val="both"/>
      </w:pPr>
      <w:r>
        <w:rPr>
          <w:b/>
        </w:rPr>
        <w:t xml:space="preserve">Jurisdiction split. </w:t>
      </w:r>
      <w:r>
        <w:t xml:space="preserve">A framework let under the Procurement Act 2023 has a maximum term, a permitted-variation regime and call-off rules set by statute rather than by agreement. Departing from them is not a commercial choice, it is a challengeable procurement decision.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Framework. </w:t>
      </w:r>
      <w:r>
        <w:t xml:space="preserve">This Agreement establishes a framework under the Procurement Act 2023 for the award of call-off contracts. It confers no exclusivity and guarantees no volume.</w:t>
      </w:r>
    </w:p>
    <w:p>
      <w:pPr>
        <w:spacing w:after="160"/>
        <w:jc w:val="both"/>
      </w:pPr>
      <w:r>
        <w:rPr>
          <w:b/>
        </w:rPr>
        <w:t xml:space="preserve">2.2 Maximum term. </w:t>
      </w:r>
      <w:r>
        <w:t xml:space="preserve">The framework term shall not exceed the maximum permitted for a framework of this type, and shall not be extended beyond it by agreement.</w:t>
      </w:r>
    </w:p>
    <w:p>
      <w:pPr>
        <w:spacing w:after="160"/>
        <w:jc w:val="both"/>
      </w:pPr>
      <w:r>
        <w:rPr>
          <w:b/>
        </w:rPr>
        <w:t xml:space="preserve">2.3 Call-off procedure. </w:t>
      </w:r>
      <w:r>
        <w:t xml:space="preserve">Call-offs shall be awarded by direct award or by competitive selection among framework suppliers, in accordance with the award criteria published in the procurement documents. The criteria may not be varied after award.</w:t>
      </w:r>
    </w:p>
    <w:p>
      <w:pPr>
        <w:spacing w:after="160"/>
        <w:jc w:val="both"/>
      </w:pPr>
      <w:r>
        <w:rPr>
          <w:b/>
        </w:rPr>
        <w:t xml:space="preserve">2.4 Permitted variations. </w:t>
      </w:r>
      <w:r>
        <w:t xml:space="preserve">This Agreement may be varied only where the variation is permitted by the applicable procurement regime. A variation outside that regime requires a new procurement, whatever the parties agree.</w:t>
      </w:r>
    </w:p>
    <w:p>
      <w:pPr>
        <w:spacing w:before="280" w:after="120"/>
      </w:pPr>
      <w:r>
        <w:rPr>
          <w:b/>
          <w:caps/>
          <w:sz w:val="24"/>
        </w:rPr>
        <w:t xml:space="preserve">3. SUPPLIER OBLIGATIONS</w:t>
      </w:r>
    </w:p>
    <w:p>
      <w:pPr>
        <w:spacing w:after="160"/>
        <w:jc w:val="both"/>
      </w:pPr>
      <w:r>
        <w:rPr>
          <w:b/>
        </w:rPr>
        <w:t xml:space="preserve">3.1 Transparency. </w:t>
      </w:r>
      <w:r>
        <w:t xml:space="preserve">The Supplier acknowledges that the Client is subject to publication duties in respect of this Agreement and the call-offs under it, and shall not mark information confidential where the duty requires publication.</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Framework Agreement (UK public procurement)</dc:title>
  <dc:creator>Default catalogue</dc:creator>
  <cp:lastModifiedBy>Default catalogue</cp:lastModifiedBy>
  <cp:revision>template</cp:revision>
  <dcterms:created xsi:type="dcterms:W3CDTF">2026-09-07T05:01:26Z</dcterms:created>
</cp:coreProperties>
</file>