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HARD FM SERVICES AGREEMENT</w:t>
      </w:r>
    </w:p>
    <w:p>
      <w:pPr>
        <w:jc w:val="center"/>
        <w:spacing w:after="360"/>
      </w:pPr>
      <w:r>
        <w:rPr>
          <w:sz w:val="20"/>
          <w:color w:val="555555"/>
        </w:rPr>
        <w:t xml:space="preserve">Template hard_fm_global · jurisdiction global · 25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 Service category [service_category]; Facilities / sites [facility_names]; Service hours [service_hours]; Response times [response_times]; KPI schedule reference [kpi_schedule]; Payment terms (days) [payment_terms_days]; Rate card reference [rate_card_reference]; Indexation basis [indexation_basis]; Liability cap (% of annual charges) [liability_cap_amount].</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Scope. </w:t>
      </w:r>
      <w:r>
        <w:t xml:space="preserve">The Supplier shall provide hard facilities management services at </w:t>
      </w:r>
      <w:r>
        <w:rPr>
          <w:highlight w:val="yellow"/>
        </w:rPr>
        <w:t xml:space="preserve">[facility_names]</w:t>
      </w:r>
      <w:r>
        <w:t xml:space="preserve">, covering mechanical, electrical, plumbing, fire safety and lift systems.</w:t>
      </w:r>
    </w:p>
    <w:p>
      <w:pPr>
        <w:spacing w:after="160"/>
        <w:jc w:val="both"/>
      </w:pPr>
      <w:r>
        <w:rPr>
          <w:b/>
        </w:rPr>
        <w:t xml:space="preserve">2.2 Statutory inspections. </w:t>
      </w:r>
      <w:r>
        <w:t xml:space="preserve">The Supplier shall carry out all statutory inspections at the intervals the applicable legislation requires, and shall not vary an interval without the Client's written agreement.</w:t>
      </w:r>
    </w:p>
    <w:p>
      <w:pPr>
        <w:spacing w:after="160"/>
        <w:jc w:val="both"/>
      </w:pPr>
      <w:r>
        <w:rPr>
          <w:b/>
        </w:rPr>
        <w:t xml:space="preserve">2.3 Service hours. </w:t>
      </w:r>
      <w:r>
        <w:t xml:space="preserve">Services shall be delivered during </w:t>
      </w:r>
      <w:r>
        <w:rPr>
          <w:highlight w:val="yellow"/>
        </w:rPr>
        <w:t xml:space="preserve">[service_hours]</w:t>
      </w:r>
      <w:r>
        <w:t xml:space="preserve">, with response times of </w:t>
      </w:r>
      <w:r>
        <w:rPr>
          <w:highlight w:val="yellow"/>
        </w:rPr>
        <w:t xml:space="preserve">[response_times]</w:t>
      </w:r>
      <w:r>
        <w:t xml:space="preserve">.</w:t>
      </w:r>
    </w:p>
    <w:p>
      <w:pPr>
        <w:spacing w:before="280" w:after="120"/>
      </w:pPr>
      <w:r>
        <w:rPr>
          <w:b/>
          <w:caps/>
          <w:sz w:val="24"/>
        </w:rPr>
        <w:t xml:space="preserve">3. SUPPLIER OBLIGATIONS</w:t>
      </w:r>
    </w:p>
    <w:p>
      <w:pPr>
        <w:spacing w:after="160"/>
        <w:jc w:val="both"/>
      </w:pPr>
      <w:r>
        <w:rPr>
          <w:b/>
        </w:rPr>
        <w:t xml:space="preserve">3.1 Compliance evidence. </w:t>
      </w:r>
      <w:r>
        <w:t xml:space="preserve">The Supplier shall upload completion certificates and statutory inspection records to the Client's compliance system within five (5) business days of each visit.</w:t>
      </w:r>
    </w:p>
    <w:p>
      <w:pPr>
        <w:spacing w:after="160"/>
        <w:jc w:val="both"/>
      </w:pPr>
      <w:r>
        <w:rPr>
          <w:b/>
        </w:rPr>
        <w:t xml:space="preserve">3.2 Competency. </w:t>
      </w:r>
      <w:r>
        <w:t xml:space="preserve">The Supplier shall ensure every operative holds the certification the task requires, and shall produce evidence on request.</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6. SERVICE LEVELS AND SERVICE CREDITS</w:t>
      </w:r>
    </w:p>
    <w:p>
      <w:pPr>
        <w:spacing w:after="160"/>
        <w:jc w:val="both"/>
      </w:pPr>
      <w:r>
        <w:rPr>
          <w:b/>
        </w:rPr>
        <w:t xml:space="preserve">6.3 Service levels and service credits. </w:t>
      </w:r>
      <w:r>
        <w:t xml:space="preserve">The Supplier shall meet the Service Levels in Schedule 3. For each Service Level failure the Supplier shall issue a service credit against the monthly Charges, capped at ten per cent (10%) of the monthly Charges. The Client may terminate for persistent failure over three (3) consecutive months. Service credits are not the Client's sole remedy and do not limit any other right, including the right to terminate under clause 9.1.</w:t>
      </w:r>
    </w:p>
    <w:p>
      <w:pPr>
        <w:spacing w:before="280" w:after="120"/>
      </w:pPr>
      <w:r>
        <w:rPr>
          <w:b/>
          <w:caps/>
          <w:sz w:val="24"/>
        </w:rPr>
        <w:t xml:space="preserve">7. LIABILITY</w:t>
      </w:r>
    </w:p>
    <w:p>
      <w:pPr>
        <w:spacing w:after="160"/>
        <w:jc w:val="both"/>
      </w:pPr>
      <w:r>
        <w:rPr>
          <w:b/>
        </w:rPr>
        <w:t xml:space="preserve">7.2 Limitation of liability. </w:t>
      </w:r>
      <w:r>
        <w:t xml:space="preserve">The Supplier's aggregate liability arising out of or in connection with this Agreement, whether in contract, tort (including negligence), breach of statutory duty or otherwise, shall not exceed </w:t>
      </w:r>
      <w:r>
        <w:rPr>
          <w:highlight w:val="yellow"/>
        </w:rPr>
        <w:t xml:space="preserve">[liability_cap_amount]</w:t>
      </w:r>
      <w:r>
        <w:t xml:space="preserve">%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7.4 Indemnities. </w:t>
      </w: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10. SUBCONTRACTING AND ASSIGNMENT</w:t>
      </w:r>
    </w:p>
    <w:p>
      <w:pPr>
        <w:spacing w:after="160"/>
        <w:jc w:val="both"/>
      </w:pPr>
      <w:r>
        <w:rPr>
          <w:b/>
        </w:rPr>
        <w:t xml:space="preserve">10.2 Subcontracting. </w:t>
      </w:r>
      <w:r>
        <w:t xml:space="preserve">The Supplier shall not subcontract any part of the Services without the Client's prior written consent, such consent not to be unreasonably withheld. The Supplier remains fully responsible for the acts and omissions of any subcontractor as if they were its own, including for the purposes of clauses 11.1 and 13.1.</w:t>
      </w:r>
    </w:p>
    <w:p>
      <w:pPr>
        <w:spacing w:before="280" w:after="120"/>
      </w:pPr>
      <w:r>
        <w:rPr>
          <w:b/>
          <w:caps/>
          <w:sz w:val="24"/>
        </w:rPr>
        <w:t xml:space="preserve">11. INSURANCE</w:t>
      </w:r>
    </w:p>
    <w:p>
      <w:pPr>
        <w:spacing w:after="160"/>
        <w:jc w:val="both"/>
      </w:pPr>
      <w:r>
        <w:rPr>
          <w:b/>
        </w:rPr>
        <w:t xml:space="preserve">11.1 Insurance. </w:t>
      </w:r>
      <w:r>
        <w:t xml:space="preserve">The Supplier shall maintain, with a reputable insurer, public liability insurance of not less than </w:t>
      </w:r>
      <w:r>
        <w:rPr>
          <w:highlight w:val="yellow"/>
        </w:rPr>
        <w:t xml:space="preserve">[currency_code]</w:t>
      </w:r>
      <w:r>
        <w:t xml:space="preserve"> 5,000,000 per occurrence, employer's liability insurance of not less than GBP 5,000,000 (the statutory minimum in Great Britain), and professional indemnity insurance of not less than </w:t>
      </w:r>
      <w:r>
        <w:rPr>
          <w:highlight w:val="yellow"/>
        </w:rPr>
        <w:t xml:space="preserve">[currency_code]</w:t>
      </w:r>
      <w:r>
        <w:t xml:space="preserve"> 2,000,000, and shall provide certificates of currency on each policy anniversary. Maintaining the cover required by this clause does not limit the Supplier's liability under clause 7.2.</w:t>
      </w:r>
    </w:p>
    <w:p>
      <w:pPr>
        <w:spacing w:before="280" w:after="120"/>
      </w:pPr>
      <w:r>
        <w:rPr>
          <w:b/>
          <w:caps/>
          <w:sz w:val="24"/>
        </w:rPr>
        <w:t xml:space="preserve">12. DATA PROTECTION</w:t>
      </w:r>
    </w:p>
    <w:p>
      <w:pPr>
        <w:spacing w:after="160"/>
        <w:jc w:val="both"/>
      </w:pPr>
      <w:r>
        <w:rPr>
          <w:b/>
        </w:rPr>
        <w:t xml:space="preserve">12.1 Data protection. </w:t>
      </w:r>
      <w:r>
        <w:t xml:space="preserve">Where the Supplier processes personal data on the Client's behalf it does so as processor. The Supplier shall notify the Client without undue delay and in any event within twenty-four (24) hours of becoming aware of any personal data breach, and shall not appoint a sub-processor without the Client's prior written consent. The indemnity in clause 7.4 applies to any breach of this clause.</w:t>
      </w:r>
    </w:p>
    <w:p>
      <w:pPr>
        <w:spacing w:before="280" w:after="120"/>
      </w:pPr>
      <w:r>
        <w:rPr>
          <w:b/>
          <w:caps/>
          <w:sz w:val="24"/>
        </w:rPr>
        <w:t xml:space="preserve">13. HEALTH, SAFETY AND STATUTORY COMPLIANCE</w:t>
      </w:r>
    </w:p>
    <w:p>
      <w:pPr>
        <w:spacing w:after="160"/>
        <w:jc w:val="both"/>
      </w:pPr>
      <w:r>
        <w:rPr>
          <w:b/>
        </w:rPr>
        <w:t xml:space="preserve">13.1 Health, safety and statutory compliance. </w:t>
      </w:r>
      <w:r>
        <w:t xml:space="preserve">The Supplier shall comply with all applicable health and safety legislation and approved codes of practice, shall maintain current risk assessments and method statements for all Services, and shall retain compliance records for a period of not less than six (6) years and produce them to the Client on request.</w:t>
      </w:r>
    </w:p>
    <w:p>
      <w:pPr>
        <w:spacing w:before="280" w:after="120"/>
      </w:pPr>
      <w:r>
        <w:rPr>
          <w:b/>
          <w:caps/>
          <w:sz w:val="24"/>
        </w:rPr>
        <w:t xml:space="preserve">15. FORCE MAJEURE</w:t>
      </w:r>
    </w:p>
    <w:p>
      <w:pPr>
        <w:spacing w:after="160"/>
        <w:jc w:val="both"/>
      </w:pPr>
      <w:r>
        <w:rPr>
          <w:b/>
        </w:rPr>
        <w:t xml:space="preserve">15.1 Force majeure. </w:t>
      </w:r>
      <w:r>
        <w:t xml:space="preserve">Neither party is liable for failure to perform caused by an event beyond its reasonable control, provided it notifies the other promptly and mitigates. Supplier labour disputes are excluded. If the event continues for more than sixty (60) days either party may terminate this Agreement on written notice with no liability, and clause 9.3 applies to the exit.</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17. INTELLECTUAL PROPERTY</w:t>
      </w:r>
    </w:p>
    <w:p>
      <w:pPr>
        <w:spacing w:after="160"/>
        <w:jc w:val="both"/>
      </w:pPr>
      <w:r>
        <w:rPr>
          <w:b/>
        </w:rPr>
        <w:t xml:space="preserve">17.1 Intellectual property. </w:t>
      </w:r>
      <w:r>
        <w:t xml:space="preserve">All intellectual property rights in the Deliverables created for the Client under this Agreement vest in the Client on creation. Each party retains its pre-existing background intellectual property and grants the other a licence to use it to the extent necessary to perform or receive the Services.</w:t>
      </w:r>
    </w:p>
    <w:p>
      <w:pPr>
        <w:spacing w:before="280" w:after="120"/>
      </w:pPr>
      <w:r>
        <w:rPr>
          <w:b/>
          <w:caps/>
          <w:sz w:val="24"/>
        </w:rPr>
        <w:t xml:space="preserve">18. CHANGE CONTROL</w:t>
      </w:r>
    </w:p>
    <w:p>
      <w:pPr>
        <w:spacing w:after="160"/>
        <w:jc w:val="both"/>
      </w:pPr>
      <w:r>
        <w:rPr>
          <w:b/>
        </w:rPr>
        <w:t xml:space="preserve">18.1 Change control. </w:t>
      </w:r>
      <w:r>
        <w:t xml:space="preserve">No change to the Services or Charges is effective unless agreed in writing by both parties using the change control procedure in Schedule 5. Changes shall be priced against the Rate Card. No change is deemed accepted by silence.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Hard FM Services Agreement</dc:title>
  <dc:creator>Default catalogue</dc:creator>
  <cp:lastModifiedBy>Default catalogue</cp:lastModifiedBy>
  <cp:revision>template</cp:revision>
  <dcterms:created xsi:type="dcterms:W3CDTF">2026-09-07T05:01:26Z</dcterms:created>
</cp:coreProperties>
</file>