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MASTER SERVICES AGREEMENT (UK)</w:t>
      </w:r>
    </w:p>
    <w:p>
      <w:pPr>
        <w:jc w:val="center"/>
        <w:spacing w:after="360"/>
      </w:pPr>
      <w:r>
        <w:rPr>
          <w:sz w:val="20"/>
          <w:color w:val="555555"/>
        </w:rPr>
        <w:t xml:space="preserve">Template msa_uk · jurisdiction GB · 20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 Payment terms (days) [payment_terms_days]; Rate card reference [rate_card_reference]; Indexation basis [indexation_basis]; Liability cap (% of annual charges) [liability_cap_amount].</w:t>
      </w:r>
    </w:p>
    <w:p>
      <w:pPr>
        <w:spacing w:after="160"/>
        <w:jc w:val="both"/>
      </w:pPr>
      <w:r>
        <w:rPr>
          <w:b/>
        </w:rPr>
        <w:t xml:space="preserve">Jurisdiction split. </w:t>
      </w:r>
      <w:r>
        <w:t xml:space="preserve">TUPE on any service-provider change, UK GDPR article 28 terms, and the UK statutory compliance regime all have to sit in the umbrella document rather than in each call-off. None of the three has an equivalent in most other jurisdictions.</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Framework. </w:t>
      </w:r>
      <w:r>
        <w:t xml:space="preserve">This Agreement sets out the terms on which the Supplier provides services to the Client in the United Kingdom. It creates no obligation to order. Work is ordered under statements of work or call-offs, each of which incorporates this Agreement.</w:t>
      </w:r>
    </w:p>
    <w:p>
      <w:pPr>
        <w:spacing w:after="160"/>
        <w:jc w:val="both"/>
      </w:pPr>
      <w:r>
        <w:rPr>
          <w:b/>
        </w:rPr>
        <w:t xml:space="preserve">2.2 Employee transfer. </w:t>
      </w:r>
      <w:r>
        <w:t xml:space="preserve">The parties acknowledge that the Transfer of Undertakings (Protection of Employment) Regulations 2006 may apply on commencement of, and on exit from, any call-off under this Agreement. Clause 14 allocates that risk for every call-off, so it is not renegotiated each time.</w:t>
      </w:r>
    </w:p>
    <w:p>
      <w:pPr>
        <w:spacing w:after="160"/>
        <w:jc w:val="both"/>
      </w:pPr>
      <w:r>
        <w:rPr>
          <w:b/>
        </w:rPr>
        <w:t xml:space="preserve">2.3 Precedence. </w:t>
      </w:r>
      <w:r>
        <w:t xml:space="preserve">Where a statement of work conflicts with this Agreement, this Agreement prevails except where the statement of work expressly states the clause it varies and is signed by both parties.</w:t>
      </w:r>
    </w:p>
    <w:p>
      <w:pPr>
        <w:spacing w:before="280" w:after="120"/>
      </w:pPr>
      <w:r>
        <w:rPr>
          <w:b/>
          <w:caps/>
          <w:sz w:val="24"/>
        </w:rPr>
        <w:t xml:space="preserve">3. SUPPLIER OBLIGATIONS</w:t>
      </w:r>
    </w:p>
    <w:p>
      <w:pPr>
        <w:spacing w:after="160"/>
        <w:jc w:val="both"/>
      </w:pPr>
      <w:r>
        <w:rPr>
          <w:b/>
        </w:rPr>
        <w:t xml:space="preserve">3.1 Standard of performance. </w:t>
      </w:r>
      <w:r>
        <w:t xml:space="preserve">The Supplier shall perform all services with the reasonable skill and care of a competent provider of services of that type, using personnel with the qualifications and training the work requires.</w:t>
      </w:r>
    </w:p>
    <w:p>
      <w:pPr>
        <w:spacing w:after="160"/>
        <w:jc w:val="both"/>
      </w:pPr>
      <w:r>
        <w:rPr>
          <w:b/>
        </w:rPr>
        <w:t xml:space="preserve">3.2 Right to work. </w:t>
      </w:r>
      <w:r>
        <w:t xml:space="preserve">The Supplier shall verify and record the right to work in the United Kingdom of every person deployed, and shall retain those records for the term and six (6) years afterwards.</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6. SERVICE LEVELS AND SERVICE CREDITS</w:t>
      </w:r>
    </w:p>
    <w:p>
      <w:pPr>
        <w:spacing w:after="160"/>
        <w:jc w:val="both"/>
      </w:pPr>
      <w:r>
        <w:rPr>
          <w:b/>
        </w:rPr>
        <w:t xml:space="preserve">6.3 Service levels and service credits. </w:t>
      </w:r>
      <w:r>
        <w:t xml:space="preserve">The Supplier shall meet the Service Levels in Schedule 3. For each Service Level failure the Supplier shall issue a service credit against the monthly Charges, capped at ten per cent (10%) of the monthly Charges. The Client may terminate for persistent failure over three (3) consecutive months. Service credits are not the Client's sole remedy and do not limit any other right, including the right to terminate under clause 9.1.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10. SUBCONTRACTING AND ASSIGNMENT</w:t>
      </w:r>
    </w:p>
    <w:p>
      <w:pPr>
        <w:spacing w:after="160"/>
        <w:jc w:val="both"/>
      </w:pPr>
      <w:r>
        <w:rPr>
          <w:b/>
        </w:rPr>
        <w:t xml:space="preserve">10.2 Subcontracting. </w:t>
      </w:r>
      <w:r>
        <w:t xml:space="preserve">The Supplier shall not subcontract any part of the Services without the Client's prior written consent, such consent not to be unreasonably withheld. The Supplier remains fully responsible for the acts and omissions of any subcontractor as if they were its own, including for the purposes of clauses 11.1 and 13.1.</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12. DATA PROTECTION</w:t>
      </w:r>
    </w:p>
    <w:p>
      <w:pPr>
        <w:spacing w:after="160"/>
        <w:jc w:val="both"/>
      </w:pPr>
      <w:r>
        <w:rPr>
          <w:b/>
        </w:rPr>
        <w:t xml:space="preserve">12.1 Data protection. </w:t>
      </w:r>
      <w:r>
        <w:t xml:space="preserve">Where the Supplier processes personal data on the Client's behalf it does so as processor. The Supplier shall notify the Client without undue delay and in any event within twenty-four (24) hours of becoming aware of any personal data breach, and shall not appoint a sub-processor without the Client's prior written consent. The indemnity in clause 7.4 applies to any breach of this clause.</w:t>
      </w:r>
    </w:p>
    <w:p>
      <w:pPr>
        <w:spacing w:before="280" w:after="120"/>
      </w:pPr>
      <w:r>
        <w:rPr>
          <w:b/>
          <w:caps/>
          <w:sz w:val="24"/>
        </w:rPr>
        <w:t xml:space="preserve">13. HEALTH, SAFETY AND STATUTORY COMPLIANCE</w:t>
      </w:r>
    </w:p>
    <w:p>
      <w:pPr>
        <w:spacing w:after="160"/>
        <w:jc w:val="both"/>
      </w:pPr>
      <w:r>
        <w:rPr>
          <w:b/>
        </w:rPr>
        <w:t xml:space="preserve">13.1 Health, safety and statutory compliance. </w:t>
      </w:r>
      <w:r>
        <w:t xml:space="preserve">The Supplier shall comply with all applicable health and safety legislation and approved codes of practice, shall maintain current risk assessments and method statements for all Services, and shall retain compliance records for a period of not less than six (6) years and produce them to the Client on request.</w:t>
      </w:r>
    </w:p>
    <w:p>
      <w:pPr>
        <w:spacing w:before="280" w:after="120"/>
      </w:pPr>
      <w:r>
        <w:rPr>
          <w:b/>
          <w:caps/>
          <w:sz w:val="24"/>
        </w:rPr>
        <w:t xml:space="preserve">14. EMPLOYEE TRANSFER (TUPE)</w:t>
      </w:r>
    </w:p>
    <w:p>
      <w:pPr>
        <w:spacing w:after="160"/>
        <w:jc w:val="both"/>
      </w:pPr>
      <w:r>
        <w:rPr>
          <w:b/>
        </w:rPr>
        <w:t xml:space="preserve">14.1 TUPE and employee transfer. </w:t>
      </w:r>
      <w:r>
        <w:t xml:space="preserve">The parties acknowledge that TUPE may apply on commencement and on exit. The outgoing party shall provide complete and accurate employee liability information not less than twenty-eight (28) days before the relevant transfer date, and shall indemnify the incoming party against all liabilities arising from its acts or omissions before that date.</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17. INTELLECTUAL PROPERTY</w:t>
      </w:r>
    </w:p>
    <w:p>
      <w:pPr>
        <w:spacing w:after="160"/>
        <w:jc w:val="both"/>
      </w:pPr>
      <w:r>
        <w:rPr>
          <w:b/>
        </w:rPr>
        <w:t xml:space="preserve">17.1 Intellectual property. </w:t>
      </w:r>
      <w:r>
        <w:t xml:space="preserve">All intellectual property rights in the Deliverables created for the Client under this Agreement vest in the Client on creation. Each party retains its pre-existing background intellectual property and grants the other a licence to use it to the extent necessary to perform or receive the Services.</w:t>
      </w:r>
    </w:p>
    <w:p>
      <w:pPr>
        <w:spacing w:before="280" w:after="120"/>
      </w:pPr>
      <w:r>
        <w:rPr>
          <w:b/>
          <w:caps/>
          <w:sz w:val="24"/>
        </w:rPr>
        <w:t xml:space="preserve">18. CHANGE CONTROL</w:t>
      </w:r>
    </w:p>
    <w:p>
      <w:pPr>
        <w:spacing w:after="160"/>
        <w:jc w:val="both"/>
      </w:pPr>
      <w:r>
        <w:rPr>
          <w:b/>
        </w:rPr>
        <w:t xml:space="preserve">18.1 Change control. </w:t>
      </w:r>
      <w:r>
        <w:t xml:space="preserve">No change to the Services or Charges is effective unless agreed in writing by both parties using the change control procedure in Schedule 5. Changes shall be priced against the Rate Card. No change is deemed accepted by silence.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Master Services Agreement (UK)</dc:title>
  <dc:creator>Default catalogue</dc:creator>
  <cp:lastModifiedBy>Default catalogue</cp:lastModifiedBy>
  <cp:revision>template</cp:revision>
  <dcterms:created xsi:type="dcterms:W3CDTF">2026-09-07T05:01:26Z</dcterms:created>
</cp:coreProperties>
</file>