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xmlns:r="http://schemas.openxmlformats.org/officeDocument/2006/relationships">
  <w:body>
    <w:p>
      <w:pPr>
        <w:jc w:val="center"/>
        <w:spacing w:after="240"/>
      </w:pPr>
      <w:r>
        <w:rPr>
          <w:b/>
          <w:sz w:val="32"/>
        </w:rPr>
        <w:t xml:space="preserve">ONE-WAY NON-DISCLOSURE AGREEMENT</w:t>
      </w:r>
    </w:p>
    <w:p>
      <w:pPr>
        <w:jc w:val="center"/>
        <w:spacing w:after="360"/>
      </w:pPr>
      <w:r>
        <w:rPr>
          <w:sz w:val="20"/>
          <w:color w:val="555555"/>
        </w:rPr>
        <w:t xml:space="preserve">Template nda_oneway_global · jurisdiction global · 9 merge fields</w:t>
      </w:r>
    </w:p>
    <w:p>
      <w:pPr>
        <w:spacing w:after="160"/>
        <w:jc w:val="both"/>
      </w:pPr>
      <w:r>
        <w:rPr>
          <w:b/>
        </w:rPr>
        <w:t xml:space="preserve">NOT REVIEWED BY COUNSEL. The clause positions in this document are the default catalogue's proposal. They are conventional for UK facilities management and exist so that routing and generation can be built and tested against something shaped like the real thing. Every one is tenant configuration, per legal entity, and is expected to change. Treat this as a first draft to argue with, not as advice.</w:t>
      </w:r>
    </w:p>
    <w:p>
      <w:pPr>
        <w:spacing w:after="160"/>
        <w:jc w:val="both"/>
      </w:pPr>
      <w:r>
        <w:t xml:space="preserve">Every highlighted [placeholder] below is a merge field resolved at generation time. This template needs: Supplier legal name [supplier_name]; Supplier company number [supplier_registered_number]; Supplier registered address [supplier_address]; Supplier contact [supplier_contact]; Client legal entity [legal_entity_name]; Client company number [legal_entity_registered_number]; Client registered address [legal_entity_address]; Governing law [governing_law]; Jurisdiction [jurisdiction].</w:t>
      </w:r>
    </w:p>
    <w:p>
      <w:pPr>
        <w:spacing w:before="280" w:after="120"/>
      </w:pPr>
      <w:r>
        <w:rPr>
          <w:b/>
          <w:caps/>
          <w:sz w:val="24"/>
        </w:rPr>
        <w:t xml:space="preserve">1. DEFINITIONS AND INTERPRETATION</w:t>
      </w:r>
    </w:p>
    <w:p>
      <w:pPr>
        <w:spacing w:after="160"/>
        <w:jc w:val="both"/>
      </w:pPr>
      <w:r>
        <w:rPr>
          <w:b/>
        </w:rPr>
        <w:t xml:space="preserve">1.1 Parties. </w:t>
      </w:r>
      <w:r>
        <w:t xml:space="preserve">This Agreement is made between </w:t>
      </w:r>
      <w:r>
        <w:rPr>
          <w:highlight w:val="yellow"/>
        </w:rPr>
        <w:t xml:space="preserve">[legal_entity_name]</w:t>
      </w:r>
      <w:r>
        <w:t xml:space="preserve"> (company number </w:t>
      </w:r>
      <w:r>
        <w:rPr>
          <w:highlight w:val="yellow"/>
        </w:rPr>
        <w:t xml:space="preserve">[legal_entity_registered_number]</w:t>
      </w:r>
      <w:r>
        <w:t xml:space="preserve">) of </w:t>
      </w:r>
      <w:r>
        <w:rPr>
          <w:highlight w:val="yellow"/>
        </w:rPr>
        <w:t xml:space="preserve">[legal_entity_address]</w:t>
      </w:r>
      <w:r>
        <w:t xml:space="preserve"> (the "Client") and </w:t>
      </w:r>
      <w:r>
        <w:rPr>
          <w:highlight w:val="yellow"/>
        </w:rPr>
        <w:t xml:space="preserve">[supplier_name]</w:t>
      </w:r>
      <w:r>
        <w:t xml:space="preserve"> (company number </w:t>
      </w:r>
      <w:r>
        <w:rPr>
          <w:highlight w:val="yellow"/>
        </w:rPr>
        <w:t xml:space="preserve">[supplier_registered_number]</w:t>
      </w:r>
      <w:r>
        <w:t xml:space="preserve">) of </w:t>
      </w:r>
      <w:r>
        <w:rPr>
          <w:highlight w:val="yellow"/>
        </w:rPr>
        <w:t xml:space="preserve">[supplier_address]</w:t>
      </w:r>
      <w:r>
        <w:t xml:space="preserve"> (the "Supplier").</w:t>
      </w:r>
    </w:p>
    <w:p>
      <w:pPr>
        <w:spacing w:after="160"/>
        <w:jc w:val="both"/>
      </w:pPr>
      <w:r>
        <w:rPr>
          <w:b/>
        </w:rPr>
        <w:t xml:space="preserve">1.2 Definitions. </w:t>
      </w:r>
      <w:r>
        <w:t xml:space="preserve">"Services" means the services described in clause 2 and the schedules. "Annual Charges" means the charges payable in any twelve-month period, being </w:t>
      </w:r>
      <w:r>
        <w:rPr>
          <w:highlight w:val="yellow"/>
        </w:rPr>
        <w:t xml:space="preserve">[currency_code]</w:t>
      </w:r>
      <w:r>
        <w:t xml:space="preserve"> </w:t>
      </w:r>
      <w:r>
        <w:rPr>
          <w:highlight w:val="yellow"/>
        </w:rPr>
        <w:t xml:space="preserve">[contract_value]</w:t>
      </w:r>
      <w:r>
        <w:t xml:space="preserve"> at the Start Date. "Rate Card" means </w:t>
      </w:r>
      <w:r>
        <w:rPr>
          <w:highlight w:val="yellow"/>
        </w:rPr>
        <w:t xml:space="preserve">[rate_card_reference]</w:t>
      </w:r>
      <w:r>
        <w:t xml:space="preserve">. Headings do not affect interpretation, and a reference to a schedule is a reference to a schedule to this Agreement.</w:t>
      </w:r>
    </w:p>
    <w:p>
      <w:pPr>
        <w:spacing w:before="280" w:after="120"/>
      </w:pPr>
      <w:r>
        <w:rPr>
          <w:b/>
          <w:caps/>
          <w:sz w:val="24"/>
        </w:rPr>
        <w:t xml:space="preserve">2. THE SERVICES</w:t>
      </w:r>
    </w:p>
    <w:p>
      <w:pPr>
        <w:spacing w:after="160"/>
        <w:jc w:val="both"/>
      </w:pPr>
      <w:r>
        <w:rPr>
          <w:b/>
        </w:rPr>
        <w:t xml:space="preserve">2.1 Purpose. </w:t>
      </w:r>
      <w:r>
        <w:rPr>
          <w:highlight w:val="yellow"/>
        </w:rPr>
        <w:t xml:space="preserve">[legal_entity_name]</w:t>
      </w:r>
      <w:r>
        <w:t xml:space="preserve"> (the "Discloser") wishes to disclose confidential information to </w:t>
      </w:r>
      <w:r>
        <w:rPr>
          <w:highlight w:val="yellow"/>
        </w:rPr>
        <w:t xml:space="preserve">[supplier_name]</w:t>
      </w:r>
      <w:r>
        <w:t xml:space="preserve"> (the "Recipient") so that the Recipient may be assessed for, or perform work at, the Discloser's premises. This Agreement governs that disclosure and creates no obligation to proceed.</w:t>
      </w:r>
    </w:p>
    <w:p>
      <w:pPr>
        <w:spacing w:after="160"/>
        <w:jc w:val="both"/>
      </w:pPr>
      <w:r>
        <w:rPr>
          <w:b/>
        </w:rPr>
        <w:t xml:space="preserve">2.2 One-way application. </w:t>
      </w:r>
      <w:r>
        <w:t xml:space="preserve">The obligations in clause 8 bind the Recipient only. The Discloser gives no undertaking in respect of information the Recipient may provide, and the Recipient should not disclose its own confidential information under this Agreement.</w:t>
      </w:r>
    </w:p>
    <w:p>
      <w:pPr>
        <w:spacing w:after="160"/>
        <w:jc w:val="both"/>
      </w:pPr>
      <w:r>
        <w:rPr>
          <w:b/>
        </w:rPr>
        <w:t xml:space="preserve">2.3 Site and security information. </w:t>
      </w:r>
      <w:r>
        <w:t xml:space="preserve">The Confidential Information includes site plans, access control configuration, alarm and CCTV coverage, key-holder details and any information about the Discloser's physical security arrangements. The Recipient shall hold that category indefinitely and shall not disclose it to any subcontractor without prior written consent.</w:t>
      </w:r>
    </w:p>
    <w:p>
      <w:pPr>
        <w:spacing w:before="280" w:after="120"/>
      </w:pPr>
      <w:r>
        <w:rPr>
          <w:b/>
          <w:caps/>
          <w:sz w:val="24"/>
        </w:rPr>
        <w:t xml:space="preserve">8. CONFIDENTIALITY</w:t>
      </w:r>
    </w:p>
    <w:p>
      <w:pPr>
        <w:spacing w:after="160"/>
        <w:jc w:val="both"/>
      </w:pPr>
      <w:r>
        <w:rPr>
          <w:b/>
        </w:rPr>
        <w:t xml:space="preserve">8.1 Confidentiality. </w:t>
      </w:r>
      <w:r>
        <w:t xml:space="preserve">Each party shall keep the other's Confidential Information confidential and shall not disclose it except to those who need it to perform this Agreement. These obligations survive termination for five (5) years, and indefinitely in respect of security, access control and personal data information.</w:t>
      </w:r>
    </w:p>
    <w:p>
      <w:pPr>
        <w:spacing w:before="280" w:after="120"/>
      </w:pPr>
      <w:r>
        <w:rPr>
          <w:b/>
          <w:caps/>
          <w:sz w:val="24"/>
        </w:rPr>
        <w:t xml:space="preserve">4. TERM AND RENEWAL</w:t>
      </w:r>
    </w:p>
    <w:p>
      <w:pPr>
        <w:spacing w:after="160"/>
        <w:jc w:val="both"/>
      </w:pPr>
      <w:r>
        <w:rPr>
          <w:b/>
        </w:rPr>
        <w:t xml:space="preserve">4.1 Term and renewal. </w:t>
      </w:r>
      <w:r>
        <w:t xml:space="preserve">This Agreement commences on the Start Date and continues for an initial term of three (3) years. It shall then renew automatically for successive periods of twelve (12) months unless either party gives not less than ninety (90) days' written notice before the end of the then-current term.</w:t>
      </w:r>
    </w:p>
    <w:p>
      <w:pPr>
        <w:spacing w:before="280" w:after="120"/>
      </w:pPr>
      <w:r>
        <w:rPr>
          <w:b/>
          <w:caps/>
          <w:sz w:val="24"/>
        </w:rPr>
        <w:t xml:space="preserve">9. TERMINATION AND EXIT</w:t>
      </w:r>
    </w:p>
    <w:p>
      <w:pPr>
        <w:spacing w:after="160"/>
        <w:jc w:val="both"/>
      </w:pPr>
      <w:r>
        <w:rPr>
          <w:b/>
        </w:rPr>
        <w:t xml:space="preserve">9.1 Termination for convenience. </w:t>
      </w:r>
      <w:r>
        <w:t xml:space="preserve">Either party may terminate this Agreement for convenience on not less than </w:t>
      </w:r>
      <w:r>
        <w:rPr>
          <w:highlight w:val="yellow"/>
        </w:rPr>
        <w:t xml:space="preserve">[notice_period_days]</w:t>
      </w:r>
      <w:r>
        <w:t xml:space="preserve"> days' prior written notice to the other. No termination charge shall be payable on a termination under this clause.</w:t>
      </w:r>
    </w:p>
    <w:p>
      <w:pPr>
        <w:spacing w:after="160"/>
        <w:jc w:val="both"/>
      </w:pPr>
      <w:r>
        <w:rPr>
          <w:b/>
        </w:rPr>
        <w:t xml:space="preserve">9.3 Exit and transition assistance. </w:t>
      </w:r>
      <w:r>
        <w:t xml:space="preserve">On expiry or termination the Supplier shall provide transition assistance for up to twelve (12) months at the Rate Card rates referred to in clause 18.1, and shall hand over all asset data, maintenance history, statutory compliance records and access credentials at no charge.</w:t>
      </w:r>
    </w:p>
    <w:p>
      <w:pPr>
        <w:spacing w:before="280" w:after="120"/>
      </w:pPr>
      <w:r>
        <w:rPr>
          <w:b/>
          <w:caps/>
          <w:sz w:val="24"/>
        </w:rPr>
        <w:t xml:space="preserve">16. GOVERNING LAW AND JURISDICTION</w:t>
      </w:r>
    </w:p>
    <w:p>
      <w:pPr>
        <w:spacing w:after="160"/>
        <w:jc w:val="both"/>
      </w:pPr>
      <w:r>
        <w:rPr>
          <w:b/>
        </w:rPr>
        <w:t xml:space="preserve">16.1 Governing law and jurisdiction. </w:t>
      </w:r>
      <w:r>
        <w:t xml:space="preserve">This Agreement and any dispute arising out of it are governed by the laws of </w:t>
      </w:r>
      <w:r>
        <w:rPr>
          <w:highlight w:val="yellow"/>
        </w:rPr>
        <w:t xml:space="preserve">[governing_law]</w:t>
      </w:r>
      <w:r>
        <w:t xml:space="preserve">, and the parties submit to the exclusive jurisdiction of the courts of </w:t>
      </w:r>
      <w:r>
        <w:rPr>
          <w:highlight w:val="yellow"/>
        </w:rPr>
        <w:t xml:space="preserve">[governing_law]</w:t>
      </w:r>
      <w:r>
        <w:t xml:space="preserve">.</w:t>
      </w:r>
    </w:p>
    <w:p>
      <w:pPr>
        <w:spacing w:before="280" w:after="120"/>
      </w:pPr>
      <w:r>
        <w:rPr>
          <w:b/>
          <w:caps/>
          <w:sz w:val="24"/>
        </w:rPr>
        <w:t xml:space="preserve">EXECUTION</w:t>
      </w:r>
    </w:p>
    <w:p>
      <w:pPr>
        <w:spacing w:after="160"/>
        <w:jc w:val="both"/>
      </w:pPr>
      <w:r>
        <w:t xml:space="preserve">Signed for and on behalf of </w:t>
      </w:r>
      <w:r>
        <w:rPr>
          <w:highlight w:val="yellow"/>
        </w:rPr>
        <w:t xml:space="preserve">[legal_entity_name]</w:t>
      </w:r>
      <w:r>
        <w:t xml:space="preserve"> by its authorised signatory, and for and on behalf of </w:t>
      </w:r>
      <w:r>
        <w:rPr>
          <w:highlight w:val="yellow"/>
        </w:rPr>
        <w:t xml:space="preserve">[supplier_name]</w:t>
      </w:r>
      <w:r>
        <w:t xml:space="preserve"> by its authorised signatory, each by electronic signature, which the parties agree has the same effect as a manuscript signature.</w:t>
      </w:r>
    </w:p>
    <w:sectPr>
      <w:headerReference w:type="default" r:id="rId3"/>
      <w:pgSz w:w="11906" w:h="16838"/>
      <w:pgMar w:top="1440" w:right="1440" w:bottom="1440" w:left="1440" w:header="708" w:footer="708" w:gutter="0"/>
    </w:sectPr>
  </w:body>
</w:document>
</file>

<file path=word/header1.xml><?xml version="1.0" encoding="utf-8"?>
<w:hdr xmlns:w="http://schemas.openxmlformats.org/wordprocessingml/2006/main" xmlns:v="urn:schemas-microsoft-com:vml" xmlns:o="urn:schemas-microsoft-com:office:office" xmlns:w10="urn:schemas-microsoft-com:office:word">
  <w:p>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shapetype>
        <v:shape id="PowerPlusWaterMarkObject" o:spid="_x0000_s2049" type="#_x0000_t136" style="position:absolute;margin-left:0;margin-top:0;width:468pt;height:117pt;rotation:315;z-index:-251656192;mso-position-horizontal:center;mso-position-horizontal-relative:margin;mso-position-vertical:center;mso-position-vertical-relative:margin" fillcolor="#d9d0cd" stroked="f">
          <v:fill opacity=".5"/>
          <v:textpath style="font-family:&quot;Calibri&quot;;font-size:1pt" string="UNREVIEWED"/>
        </v:shape>
      </w:pict>
    </w:r>
  </w:p>
  <w:p>
    <w:pPr>
      <w:jc w:val="center"/>
    </w:pPr>
    <w:r>
      <w:rPr>
        <w:color w:val="9A3412"/>
        <w:sz w:val="16"/>
        <w:b/>
      </w:rPr>
      <w:t xml:space="preserve">UNREVIEWED - NOT FOR EXECUTION</w:t>
    </w:r>
  </w:p>
</w:hdr>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style>
  <w:style w:type="character" w:styleId="CommentReference">
    <w:name w:val="annotation reference"/>
    <w:rPr>
      <w:sz w:val="16"/>
    </w:rPr>
  </w:style>
  <w:style w:type="paragraph" w:styleId="CommentText">
    <w:name w:val="annotation text"/>
    <w:rPr>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3" Type="http://schemas.openxmlformats.org/officeDocument/2006/relationships/header" Target="header1.xml"/>
</Relationships>
</file>

<file path=docProps/core.xml><?xml version="1.0" encoding="utf-8"?>
<cp:coreProperties xmlns:cp="http://schemas.openxmlformats.org/package/2006/metadata/core-properties" xmlns:dc="http://purl.org/dc/elements/1.1/" xmlns:dcterms="http://purl.org/dc/terms/" xmlns:xsi="http://www.w3.org/2001/XMLSchema-instance">
  <dc:title>One-way Non-Disclosure Agreement</dc:title>
  <dc:creator>Default catalogue</dc:creator>
  <cp:lastModifiedBy>Default catalogue</cp:lastModifiedBy>
  <cp:revision>template</cp:revision>
  <dcterms:created xsi:type="dcterms:W3CDTF">2026-09-07T05:01:26Z</dcterms:created>
</cp:coreProperties>
</file>