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PLANNED PREVENTIVE MAINTENANCE AGREEMENT (UK)</w:t>
      </w:r>
    </w:p>
    <w:p>
      <w:pPr>
        <w:jc w:val="center"/>
        <w:spacing w:after="360"/>
      </w:pPr>
      <w:r>
        <w:rPr>
          <w:sz w:val="20"/>
          <w:color w:val="555555"/>
        </w:rPr>
        <w:t xml:space="preserve">Template ppm_uk · jurisdiction GB · 21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w:t>
      </w:r>
    </w:p>
    <w:p>
      <w:pPr>
        <w:spacing w:after="160"/>
        <w:jc w:val="both"/>
      </w:pPr>
      <w:r>
        <w:rPr>
          <w:b/>
        </w:rPr>
        <w:t xml:space="preserve">Jurisdiction split. </w:t>
      </w:r>
      <w:r>
        <w:t xml:space="preserve">The maintenance regime is the compliance evidence, and in the UK the intervals come from LOLER, the Pressure Systems Safety Regulations and the Gas Safety Regulations by name. A regime with no statute behind it is a schedule of visits, not a compliance record.</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Maintenance regime. </w:t>
      </w:r>
      <w:r>
        <w:t xml:space="preserve">The Supplier shall carry out planned preventive maintenance at </w:t>
      </w:r>
      <w:r>
        <w:rPr>
          <w:highlight w:val="yellow"/>
        </w:rPr>
        <w:t xml:space="preserve">[facility_names]</w:t>
      </w:r>
      <w:r>
        <w:t xml:space="preserve"> in accordance with the written maintenance regime in the schedules, which is the compliance evidence for the assets it covers.</w:t>
      </w:r>
    </w:p>
    <w:p>
      <w:pPr>
        <w:spacing w:after="160"/>
        <w:jc w:val="both"/>
      </w:pPr>
      <w:r>
        <w:rPr>
          <w:b/>
        </w:rPr>
        <w:t xml:space="preserve">2.2 UK statutory intervals. </w:t>
      </w:r>
      <w:r>
        <w:t xml:space="preserve">Where an asset is subject to the Lifting Operations and Lifting Equipment Regulations 1998, the Pressure Systems Safety Regulations 2000, the Gas Safety (Installation and Use) Regulations 1998 or the Electricity at Work Regulations 1989, the regime shall adopt the interval that legislation requires.</w:t>
      </w:r>
    </w:p>
    <w:p>
      <w:pPr>
        <w:spacing w:after="160"/>
        <w:jc w:val="both"/>
      </w:pPr>
      <w:r>
        <w:rPr>
          <w:b/>
        </w:rPr>
        <w:t xml:space="preserve">2.3 Regime changes. </w:t>
      </w:r>
      <w:r>
        <w:t xml:space="preserve">The Supplier shall notify the Client where the regime does not match the manufacturer's recommendation or a statutory requirement, and shall not proceed against it without written instruction.</w:t>
      </w:r>
    </w:p>
    <w:p>
      <w:pPr>
        <w:spacing w:before="280" w:after="120"/>
      </w:pPr>
      <w:r>
        <w:rPr>
          <w:b/>
          <w:caps/>
          <w:sz w:val="24"/>
        </w:rPr>
        <w:t xml:space="preserve">3. SUPPLIER OBLIGATIONS</w:t>
      </w:r>
    </w:p>
    <w:p>
      <w:pPr>
        <w:spacing w:after="160"/>
        <w:jc w:val="both"/>
      </w:pPr>
      <w:r>
        <w:rPr>
          <w:b/>
        </w:rPr>
        <w:t xml:space="preserve">3.1 Records. </w:t>
      </w:r>
      <w:r>
        <w:t xml:space="preserve">The Supplier shall record every visit against the asset register, including work not completed and the reason, and shall retain the records for six (6) years.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Planned Preventive Maintenance Agreement (UK)</dc:title>
  <dc:creator>Default catalogue</dc:creator>
  <cp:lastModifiedBy>Default catalogue</cp:lastModifiedBy>
  <cp:revision>template</cp:revision>
  <dcterms:created xsi:type="dcterms:W3CDTF">2026-09-07T05:01:26Z</dcterms:created>
</cp:coreProperties>
</file>